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376C" w14:textId="77777777" w:rsidR="00ED0080" w:rsidRDefault="00943AE9">
      <w:pPr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int="eastAsia"/>
          <w:sz w:val="72"/>
          <w:szCs w:val="72"/>
        </w:rPr>
        <w:t>项目绩效评价报告</w:t>
      </w:r>
    </w:p>
    <w:p w14:paraId="2432F3F7" w14:textId="77777777" w:rsidR="00ED0080" w:rsidRDefault="00ED0080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</w:p>
    <w:p w14:paraId="51C61A61" w14:textId="77777777" w:rsidR="00ED0080" w:rsidRDefault="00943AE9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一、</w:t>
      </w:r>
      <w:r>
        <w:rPr>
          <w:rFonts w:ascii="仿宋_GB2312" w:eastAsia="仿宋_GB2312" w:hAnsi="黑体" w:hint="eastAsia"/>
          <w:sz w:val="28"/>
          <w:szCs w:val="28"/>
        </w:rPr>
        <w:t>基本情况</w:t>
      </w:r>
    </w:p>
    <w:p w14:paraId="37EED84D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一）</w:t>
      </w:r>
      <w:r>
        <w:rPr>
          <w:rFonts w:ascii="仿宋_GB2312" w:eastAsia="仿宋_GB2312" w:hAnsi="黑体" w:hint="eastAsia"/>
          <w:sz w:val="28"/>
          <w:szCs w:val="28"/>
        </w:rPr>
        <w:t>项目概况</w:t>
      </w:r>
    </w:p>
    <w:p w14:paraId="60ECCC6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项目简介</w:t>
      </w:r>
    </w:p>
    <w:p w14:paraId="776966DF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为进一步树立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首都政法综治系统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的综合影响力，扩大对外宣传、展示政工形象、服务社会管理、强化交流互动，进一步发挥网络的实用价值，根据中共北京市委政法委会和首都社会管理综合治理委员会办公室《关于进一步加强首都政法综治网建设的通知》（京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政法发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〔</w:t>
      </w:r>
      <w:r>
        <w:rPr>
          <w:rFonts w:ascii="仿宋_GB2312" w:eastAsia="仿宋_GB2312" w:hAnsi="黑体" w:hint="eastAsia"/>
          <w:sz w:val="28"/>
          <w:szCs w:val="28"/>
        </w:rPr>
        <w:t>2014</w:t>
      </w:r>
      <w:r>
        <w:rPr>
          <w:rFonts w:ascii="仿宋_GB2312" w:eastAsia="仿宋_GB2312" w:hAnsi="黑体" w:hint="eastAsia"/>
          <w:sz w:val="28"/>
          <w:szCs w:val="28"/>
        </w:rPr>
        <w:t>〕</w:t>
      </w:r>
      <w:r>
        <w:rPr>
          <w:rFonts w:ascii="仿宋_GB2312" w:eastAsia="仿宋_GB2312" w:hAnsi="黑体" w:hint="eastAsia"/>
          <w:sz w:val="28"/>
          <w:szCs w:val="28"/>
        </w:rPr>
        <w:t>25</w:t>
      </w:r>
      <w:r>
        <w:rPr>
          <w:rFonts w:ascii="仿宋_GB2312" w:eastAsia="仿宋_GB2312" w:hAnsi="黑体" w:hint="eastAsia"/>
          <w:sz w:val="28"/>
          <w:szCs w:val="28"/>
        </w:rPr>
        <w:t>号）的精神，北京政法职业学院需持续加大人、财、物投入保障力度，承担起“十三五”期间网站建设运维责任，把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建设成为全国一流的政法类宣传网站，在做好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首都政法综治网宣传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工作的同时，基于网站平台，大力宣传了北京政法行业的先进队伍与先进个人，树立了政法队伍的正</w:t>
      </w:r>
      <w:r>
        <w:rPr>
          <w:rFonts w:ascii="仿宋_GB2312" w:eastAsia="仿宋_GB2312" w:hAnsi="黑体" w:hint="eastAsia"/>
          <w:sz w:val="28"/>
          <w:szCs w:val="28"/>
        </w:rPr>
        <w:t>面形象，为政府的舆论引导工作做了大量有价值、有意义的工作。</w:t>
      </w:r>
    </w:p>
    <w:p w14:paraId="219C7DB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预算主体为北京政法职业学院，项目主要通过购买服务的方式，对网站进行运维，进一步规范网站管理、扩大宣传及影响，完善网站平台的功能，充分发挥网站效能，在服务政法、综治中心工作中发挥更好、更积极的作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用，力争在全国政法网站排名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“保三争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”的工作目标顺利落实。</w:t>
      </w:r>
    </w:p>
    <w:p w14:paraId="0B8F7CF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项目主要内容</w:t>
      </w:r>
    </w:p>
    <w:p w14:paraId="1ABA055F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该项目将进一步加大新闻报道的力度，完善采写设备，加强人员专业培训，适时引进专门人才，全面增加网站图文视频直播、视频拍摄等多媒体宣传力度，增加网站的对外交流，全面提高人员素质和</w:t>
      </w:r>
      <w:r>
        <w:rPr>
          <w:rFonts w:ascii="仿宋_GB2312" w:eastAsia="仿宋_GB2312" w:hAnsi="黑体" w:hint="eastAsia"/>
          <w:sz w:val="28"/>
          <w:szCs w:val="28"/>
        </w:rPr>
        <w:t>工作质量，更快推进市委政法委提出的建成权威网站。</w:t>
      </w:r>
    </w:p>
    <w:p w14:paraId="6D6CC7BB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通过深入研究、不断探索、积极学习适时引进新技术，设立新项目，使网站建设步入政府官方正规化管理轨道。全面做好“网络舆情信息采集与分析”系统的完善工作，更好、更及时、更准确地提供相关信息，为北京政法综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治维稳服务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好。</w:t>
      </w:r>
    </w:p>
    <w:p w14:paraId="01372FF2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项目立项背景</w:t>
      </w:r>
    </w:p>
    <w:p w14:paraId="3D3716AE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该项目是依据中央政法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委全国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政法综治宣传主阵地建设会议精神和中共北京市委政法委会《关于进一步加强北京政法网建设的通知》，要求持续加大人、财、物投入保障力度，承担起“十三五”期间网站建设责任的精神。网站目前随着信息技术的不断发展，资源的</w:t>
      </w:r>
      <w:r>
        <w:rPr>
          <w:rFonts w:ascii="仿宋_GB2312" w:eastAsia="仿宋_GB2312" w:hAnsi="黑体" w:hint="eastAsia"/>
          <w:sz w:val="28"/>
          <w:szCs w:val="28"/>
        </w:rPr>
        <w:t>融合与集成开发管理在目前的资金状况下实现起来具有较大困难。</w:t>
      </w:r>
    </w:p>
    <w:p w14:paraId="056DDAC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因此</w:t>
      </w:r>
      <w:r>
        <w:rPr>
          <w:rFonts w:ascii="仿宋_GB2312" w:eastAsia="仿宋_GB2312" w:hAnsi="黑体" w:hint="eastAsia"/>
          <w:sz w:val="28"/>
          <w:szCs w:val="28"/>
        </w:rPr>
        <w:t>2015</w:t>
      </w:r>
      <w:r>
        <w:rPr>
          <w:rFonts w:ascii="仿宋_GB2312" w:eastAsia="仿宋_GB2312" w:hAnsi="黑体" w:hint="eastAsia"/>
          <w:sz w:val="28"/>
          <w:szCs w:val="28"/>
        </w:rPr>
        <w:t>年，学院主导立项为北京政法网申请了该项目的专项资金用于网站运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维管理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工作，该项目自实施以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来近</w:t>
      </w:r>
      <w:r>
        <w:rPr>
          <w:rFonts w:ascii="仿宋_GB2312" w:eastAsia="仿宋_GB2312" w:hAnsi="黑体" w:hint="eastAsia"/>
          <w:sz w:val="28"/>
          <w:szCs w:val="28"/>
        </w:rPr>
        <w:t>5</w:t>
      </w:r>
      <w:r>
        <w:rPr>
          <w:rFonts w:ascii="仿宋_GB2312" w:eastAsia="仿宋_GB2312" w:hAnsi="黑体" w:hint="eastAsia"/>
          <w:sz w:val="28"/>
          <w:szCs w:val="28"/>
        </w:rPr>
        <w:t>年的时间，为北京政法系统宣传工作取得巨大的社会效益，网站通过文字、图片、音视频短剧、微电影、多媒体讲座、微博、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微信等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形式大力宣传了北京政法行业的先进队伍与先进个人，树立了政法队伍的正面形象，为政府的舆论引导工作做了大量有价值、有意义的工作。</w:t>
      </w:r>
    </w:p>
    <w:p w14:paraId="626F6AE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加大维护资金投入后，更加有利于网站的整体规划设计、新功能开发和技术力量的使用。网站还将逐步完善各栏目与功能</w:t>
      </w:r>
      <w:r>
        <w:rPr>
          <w:rFonts w:ascii="仿宋_GB2312" w:eastAsia="仿宋_GB2312" w:hAnsi="黑体" w:hint="eastAsia"/>
          <w:sz w:val="28"/>
          <w:szCs w:val="28"/>
        </w:rPr>
        <w:t>平台建设，充分发挥网站效能，在服务政法、综治中心工作中发挥更好、更积极的作用。</w:t>
      </w:r>
    </w:p>
    <w:p w14:paraId="6765BD05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r>
        <w:rPr>
          <w:rFonts w:ascii="仿宋_GB2312" w:eastAsia="仿宋_GB2312" w:hAnsi="黑体" w:hint="eastAsia"/>
          <w:sz w:val="28"/>
          <w:szCs w:val="28"/>
        </w:rPr>
        <w:t>项目资金情况</w:t>
      </w:r>
    </w:p>
    <w:p w14:paraId="4511482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该项目申报预算金额</w:t>
      </w:r>
      <w:r>
        <w:rPr>
          <w:rFonts w:ascii="仿宋_GB2312" w:eastAsia="仿宋_GB2312" w:hAnsi="黑体" w:hint="eastAsia"/>
          <w:sz w:val="28"/>
          <w:szCs w:val="28"/>
        </w:rPr>
        <w:t>837.85</w:t>
      </w:r>
      <w:r>
        <w:rPr>
          <w:rFonts w:ascii="仿宋_GB2312" w:eastAsia="仿宋_GB2312" w:hAnsi="黑体" w:hint="eastAsia"/>
          <w:sz w:val="28"/>
          <w:szCs w:val="28"/>
        </w:rPr>
        <w:t>万元，年初财政批复预算</w:t>
      </w:r>
      <w:r>
        <w:rPr>
          <w:rFonts w:ascii="仿宋_GB2312" w:eastAsia="仿宋_GB2312" w:hAnsi="黑体" w:hint="eastAsia"/>
          <w:sz w:val="28"/>
          <w:szCs w:val="28"/>
        </w:rPr>
        <w:t>837.85</w:t>
      </w:r>
      <w:r>
        <w:rPr>
          <w:rFonts w:ascii="仿宋_GB2312" w:eastAsia="仿宋_GB2312" w:hAnsi="黑体" w:hint="eastAsia"/>
          <w:sz w:val="28"/>
          <w:szCs w:val="28"/>
        </w:rPr>
        <w:t>万元，全部为财政资金。</w:t>
      </w: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仿宋_GB2312" w:eastAsia="仿宋_GB2312" w:hAnsi="黑体" w:hint="eastAsia"/>
          <w:sz w:val="28"/>
          <w:szCs w:val="28"/>
        </w:rPr>
        <w:t>年度资金全部到位，受疫情</w:t>
      </w:r>
      <w:r>
        <w:rPr>
          <w:rFonts w:ascii="仿宋_GB2312" w:eastAsia="仿宋_GB2312" w:hAnsi="黑体"/>
          <w:sz w:val="28"/>
          <w:szCs w:val="28"/>
        </w:rPr>
        <w:t>影响，</w:t>
      </w:r>
      <w:r>
        <w:rPr>
          <w:rFonts w:ascii="仿宋_GB2312" w:eastAsia="仿宋_GB2312" w:hAnsi="黑体" w:hint="eastAsia"/>
          <w:sz w:val="28"/>
          <w:szCs w:val="28"/>
        </w:rPr>
        <w:t>第四季度调减资金</w:t>
      </w:r>
      <w:r>
        <w:rPr>
          <w:rFonts w:ascii="仿宋_GB2312" w:eastAsia="仿宋_GB2312" w:hAnsi="黑体" w:hint="eastAsia"/>
          <w:sz w:val="28"/>
          <w:szCs w:val="28"/>
        </w:rPr>
        <w:t>15.77</w:t>
      </w:r>
      <w:r>
        <w:rPr>
          <w:rFonts w:ascii="仿宋_GB2312" w:eastAsia="仿宋_GB2312" w:hAnsi="黑体" w:hint="eastAsia"/>
          <w:sz w:val="28"/>
          <w:szCs w:val="28"/>
        </w:rPr>
        <w:t>万元，实际预算资金为</w:t>
      </w:r>
      <w:r>
        <w:rPr>
          <w:rFonts w:ascii="仿宋_GB2312" w:eastAsia="仿宋_GB2312" w:hAnsi="黑体" w:hint="eastAsia"/>
          <w:sz w:val="28"/>
          <w:szCs w:val="28"/>
        </w:rPr>
        <w:t>822.08</w:t>
      </w:r>
      <w:r>
        <w:rPr>
          <w:rFonts w:ascii="仿宋_GB2312" w:eastAsia="仿宋_GB2312" w:hAnsi="黑体" w:hint="eastAsia"/>
          <w:sz w:val="28"/>
          <w:szCs w:val="28"/>
        </w:rPr>
        <w:t>万元。在项目实施过程中，根据项目具体完成情况以及合同规定，本年度预算资金使用共计</w:t>
      </w:r>
      <w:r>
        <w:rPr>
          <w:rFonts w:ascii="仿宋_GB2312" w:eastAsia="仿宋_GB2312" w:hAnsi="黑体" w:hint="eastAsia"/>
          <w:sz w:val="28"/>
          <w:szCs w:val="28"/>
        </w:rPr>
        <w:t>801.55</w:t>
      </w:r>
      <w:r>
        <w:rPr>
          <w:rFonts w:ascii="仿宋_GB2312" w:eastAsia="仿宋_GB2312" w:hAnsi="黑体" w:hint="eastAsia"/>
          <w:sz w:val="28"/>
          <w:szCs w:val="28"/>
        </w:rPr>
        <w:t>万元，预算执行率为</w:t>
      </w:r>
      <w:r>
        <w:rPr>
          <w:rFonts w:ascii="仿宋_GB2312" w:eastAsia="仿宋_GB2312" w:hAnsi="黑体" w:hint="eastAsia"/>
          <w:sz w:val="28"/>
          <w:szCs w:val="28"/>
        </w:rPr>
        <w:t>97.50%</w:t>
      </w:r>
      <w:r>
        <w:rPr>
          <w:rFonts w:ascii="仿宋_GB2312" w:eastAsia="仿宋_GB2312" w:hAnsi="黑体" w:hint="eastAsia"/>
          <w:sz w:val="28"/>
          <w:szCs w:val="28"/>
        </w:rPr>
        <w:t>，结余资金</w:t>
      </w:r>
      <w:r>
        <w:rPr>
          <w:rFonts w:ascii="仿宋_GB2312" w:eastAsia="仿宋_GB2312" w:hAnsi="黑体" w:hint="eastAsia"/>
          <w:sz w:val="28"/>
          <w:szCs w:val="28"/>
        </w:rPr>
        <w:t>20.53</w:t>
      </w:r>
      <w:r>
        <w:rPr>
          <w:rFonts w:ascii="仿宋_GB2312" w:eastAsia="仿宋_GB2312" w:hAnsi="黑体" w:hint="eastAsia"/>
          <w:sz w:val="28"/>
          <w:szCs w:val="28"/>
        </w:rPr>
        <w:t>万元。</w:t>
      </w:r>
    </w:p>
    <w:p w14:paraId="4308CF43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二）</w:t>
      </w:r>
      <w:r>
        <w:rPr>
          <w:rFonts w:ascii="仿宋_GB2312" w:eastAsia="仿宋_GB2312" w:hAnsi="黑体" w:hint="eastAsia"/>
          <w:sz w:val="28"/>
          <w:szCs w:val="28"/>
        </w:rPr>
        <w:t>绩效目标</w:t>
      </w:r>
    </w:p>
    <w:p w14:paraId="44041CC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总体目标</w:t>
      </w:r>
    </w:p>
    <w:p w14:paraId="6CD1A7AE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将北京政法网建设成为全国省级政法系统一流网站，在运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维</w:t>
      </w:r>
      <w:r>
        <w:rPr>
          <w:rFonts w:ascii="仿宋_GB2312" w:eastAsia="仿宋_GB2312" w:hAnsi="黑体" w:hint="eastAsia"/>
          <w:sz w:val="28"/>
          <w:szCs w:val="28"/>
        </w:rPr>
        <w:t>资金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落实以后，将进一步加大新闻报道的力度，完善采写设备，加强人员专业培训，适时引进专业团队，全面增加网站移动版、新媒体发布、网站图文视频直播、视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频拍摄等新媒体宣传力度，增加网站的对外交流，全面提高人员素质和工作质量，更快推进市委政法委提出的建成权威网站，力争在全国政法网站排名中“保三争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”的工作目标的落实工作。</w:t>
      </w:r>
    </w:p>
    <w:p w14:paraId="421ABBCA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阶段性目标</w:t>
      </w:r>
    </w:p>
    <w:p w14:paraId="16A31EB5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确保网站在网络信息安全方面全年无重大安全责任事故，网站影响力进一步提升，增加网站的对外交流，全面提高人员素质和工作质量，更快推进市委政法委提出的建成权威网站，力争在全国政法网站排名中</w:t>
      </w:r>
      <w:r>
        <w:rPr>
          <w:rFonts w:ascii="仿宋_GB2312" w:eastAsia="仿宋_GB2312" w:hAnsi="黑体" w:hint="eastAsia"/>
          <w:sz w:val="28"/>
          <w:szCs w:val="28"/>
        </w:rPr>
        <w:t>“保三争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”的工作目标的落实工作。时间：</w:t>
      </w:r>
      <w:r>
        <w:rPr>
          <w:rFonts w:ascii="仿宋_GB2312" w:eastAsia="仿宋_GB2312" w:hAnsi="黑体" w:hint="eastAsia"/>
          <w:sz w:val="28"/>
          <w:szCs w:val="28"/>
        </w:rPr>
        <w:t>1-12</w:t>
      </w:r>
      <w:r>
        <w:rPr>
          <w:rFonts w:ascii="仿宋_GB2312" w:eastAsia="仿宋_GB2312" w:hAnsi="黑体" w:hint="eastAsia"/>
          <w:sz w:val="28"/>
          <w:szCs w:val="28"/>
        </w:rPr>
        <w:t>月。</w:t>
      </w:r>
    </w:p>
    <w:p w14:paraId="0ADDD5EE" w14:textId="77777777" w:rsidR="00ED0080" w:rsidRDefault="00943AE9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二、</w:t>
      </w:r>
      <w:r>
        <w:rPr>
          <w:rFonts w:ascii="仿宋_GB2312" w:eastAsia="仿宋_GB2312" w:hAnsi="黑体" w:hint="eastAsia"/>
          <w:sz w:val="28"/>
          <w:szCs w:val="28"/>
        </w:rPr>
        <w:t>绩效评价工作开展情况</w:t>
      </w:r>
    </w:p>
    <w:p w14:paraId="7B64CC92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一）</w:t>
      </w:r>
      <w:r>
        <w:rPr>
          <w:rFonts w:ascii="仿宋_GB2312" w:eastAsia="仿宋_GB2312" w:hAnsi="黑体" w:hint="eastAsia"/>
          <w:sz w:val="28"/>
          <w:szCs w:val="28"/>
        </w:rPr>
        <w:t>绩效评价目的、对象和范围</w:t>
      </w:r>
    </w:p>
    <w:p w14:paraId="6508F752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评价目的</w:t>
      </w:r>
    </w:p>
    <w:p w14:paraId="2404EF6A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通过绩效评价，衡量和考核该项目资金的绩效，了解、分析、检验资金使用是否达到预期目标，资金管理是否规范，资金使用是否有效。通过总结经验，分析问题，采取切实措施进一步加强和改进财政支出项目管理，提高财政资金使用效益，并为以后此类项目实施的规范性、经济性提供可靠依据。</w:t>
      </w:r>
    </w:p>
    <w:p w14:paraId="6C617B3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评价对象</w:t>
      </w:r>
    </w:p>
    <w:p w14:paraId="72BFDDCA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北京政法职业学院</w:t>
      </w: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仿宋_GB2312" w:eastAsia="仿宋_GB2312" w:hAnsi="黑体" w:hint="eastAsia"/>
          <w:sz w:val="28"/>
          <w:szCs w:val="28"/>
        </w:rPr>
        <w:t>年度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年度运维项目。</w:t>
      </w:r>
    </w:p>
    <w:p w14:paraId="45AC8A3D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评价范围</w:t>
      </w:r>
    </w:p>
    <w:p w14:paraId="074029BE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仿宋_GB2312" w:eastAsia="仿宋_GB2312" w:hAnsi="黑体" w:hint="eastAsia"/>
          <w:sz w:val="28"/>
          <w:szCs w:val="28"/>
        </w:rPr>
        <w:t>年度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年度运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维项目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预算执行情况、项目决策情况、项目过程情况、项目产出情况及项目效益情况。</w:t>
      </w:r>
    </w:p>
    <w:p w14:paraId="438E20D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二）</w:t>
      </w:r>
      <w:r>
        <w:rPr>
          <w:rFonts w:ascii="仿宋_GB2312" w:eastAsia="仿宋_GB2312" w:hAnsi="黑体" w:hint="eastAsia"/>
          <w:sz w:val="28"/>
          <w:szCs w:val="28"/>
        </w:rPr>
        <w:t>评价原则、指标体系、评价方法、评价标准</w:t>
      </w:r>
    </w:p>
    <w:p w14:paraId="3E8F72A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评价原则</w:t>
      </w:r>
    </w:p>
    <w:p w14:paraId="202E95F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本次绩效评价工作遵循“科学规范、公正公开、分级分类、绩效相关”的原则，依据市财政局绩效考评工作手册相关规定进行，本着突出绩效、兼顾决策和管理的原则。</w:t>
      </w:r>
    </w:p>
    <w:p w14:paraId="363BCCAB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指标体系</w:t>
      </w:r>
    </w:p>
    <w:p w14:paraId="2F278ED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评价工作组结合项目预算的特点及资金使用的具体情况，着重从项目决策、项目管理、项目绩效三方面对该项目进行绩效</w:t>
      </w:r>
      <w:r>
        <w:rPr>
          <w:rFonts w:ascii="仿宋_GB2312" w:eastAsia="仿宋_GB2312" w:hAnsi="黑体" w:hint="eastAsia"/>
          <w:sz w:val="28"/>
          <w:szCs w:val="28"/>
        </w:rPr>
        <w:t>考评，重点考核绩效目标与战略发展规划的适应性；财政资金使用情况、财务管理状况和为加强预算管理所制定的相关制度、采取的措施；绩效目标的实现程度以及预定产出和效果等，评价其在运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维过程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中所产生的社会效益、可持续影响等效果；并在此基础上设定评价指标内容和权重，同时将各项指标细化到四级，并提出了明确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的评价标准。</w:t>
      </w:r>
    </w:p>
    <w:p w14:paraId="1B9FBC54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评价方法</w:t>
      </w:r>
    </w:p>
    <w:p w14:paraId="5A089D6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本次评价工作结合实际需要，采用比较法、工作组评议等考评方法，对项目进行综合评价。采取座谈、实地勘查、查阅资料和电话咨询等方式，对项目进行全面细致地了解。通过对项目的社会效益、经济效益及可持续性的</w:t>
      </w:r>
      <w:r>
        <w:rPr>
          <w:rFonts w:ascii="仿宋_GB2312" w:eastAsia="仿宋_GB2312" w:hAnsi="黑体" w:hint="eastAsia"/>
          <w:sz w:val="28"/>
          <w:szCs w:val="28"/>
        </w:rPr>
        <w:t>比较和分析，考核项目的支出效益效果。</w:t>
      </w:r>
    </w:p>
    <w:p w14:paraId="178B9625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r>
        <w:rPr>
          <w:rFonts w:ascii="仿宋_GB2312" w:eastAsia="仿宋_GB2312" w:hAnsi="黑体" w:hint="eastAsia"/>
          <w:sz w:val="28"/>
          <w:szCs w:val="28"/>
        </w:rPr>
        <w:t>评价标准</w:t>
      </w:r>
    </w:p>
    <w:p w14:paraId="610BCA7A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该项目采用计划标准、行业标准为评价标准。</w:t>
      </w:r>
    </w:p>
    <w:p w14:paraId="1C639DA3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三）</w:t>
      </w:r>
      <w:r>
        <w:rPr>
          <w:rFonts w:ascii="仿宋_GB2312" w:eastAsia="仿宋_GB2312" w:hAnsi="黑体" w:hint="eastAsia"/>
          <w:sz w:val="28"/>
          <w:szCs w:val="28"/>
        </w:rPr>
        <w:t>绩效评价工作过程</w:t>
      </w:r>
    </w:p>
    <w:p w14:paraId="34A33E9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前期准备工作</w:t>
      </w:r>
    </w:p>
    <w:p w14:paraId="75A538E3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院成立绩效评价工作小组，负责协调、处理、决定财政支出绩效评价工作中的重大事项，研究解决工作中遇到的重大问题；明确了评价组织机构、人员分工、评价范围、评价重点、评价方法、具体时间安排等内容。</w:t>
      </w:r>
    </w:p>
    <w:p w14:paraId="5E845D57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现场核查情况</w:t>
      </w:r>
    </w:p>
    <w:p w14:paraId="16FDBCA2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一是了解绩效目标设立情况。评价工作组通过查阅项目申报书、学院职能文件、项目立项背景及发展规划等资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料，以了解绩效目标设定的明确性、合理性。</w:t>
      </w:r>
    </w:p>
    <w:p w14:paraId="1F3A4727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二是了解项目效益实现情况。评</w:t>
      </w:r>
      <w:r>
        <w:rPr>
          <w:rFonts w:ascii="仿宋_GB2312" w:eastAsia="仿宋_GB2312" w:hAnsi="黑体" w:hint="eastAsia"/>
          <w:sz w:val="28"/>
          <w:szCs w:val="28"/>
        </w:rPr>
        <w:t>价工作组通过查阅内部决策资料、项目可行性研究报告、项目建设方案等项目资料，分析评价项目的绩效实现情况，确认项目绩效是否达到了预期目标。</w:t>
      </w:r>
    </w:p>
    <w:p w14:paraId="19C874C4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资料信息汇总</w:t>
      </w:r>
    </w:p>
    <w:p w14:paraId="3A3455A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在资料收集的基础上，评价工作组对资料进行整理、汇总。评价工作组根据项目绩效评价的要求，以及该项目的特点，对该项目部分资料进行了重点整理、汇总。</w:t>
      </w:r>
    </w:p>
    <w:p w14:paraId="04C5AD7A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r>
        <w:rPr>
          <w:rFonts w:ascii="仿宋_GB2312" w:eastAsia="仿宋_GB2312" w:hAnsi="黑体" w:hint="eastAsia"/>
          <w:sz w:val="28"/>
          <w:szCs w:val="28"/>
        </w:rPr>
        <w:t>评价分析</w:t>
      </w:r>
    </w:p>
    <w:p w14:paraId="2E9CC65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评价工作组，在资料信息汇总的基础上，对该项目的部分情况进行了重点分析，并形成相关意见。</w:t>
      </w:r>
    </w:p>
    <w:p w14:paraId="4F71A0BE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绩效目标设立、决策依据及程序情况</w:t>
      </w:r>
    </w:p>
    <w:p w14:paraId="5530682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评价工作组通过对项目决策阶段资料进行分析，查看项目申报文本、绩效目标申报</w:t>
      </w:r>
      <w:r>
        <w:rPr>
          <w:rFonts w:ascii="仿宋_GB2312" w:eastAsia="仿宋_GB2312" w:hAnsi="黑体" w:hint="eastAsia"/>
          <w:sz w:val="28"/>
          <w:szCs w:val="28"/>
        </w:rPr>
        <w:t>表等资料，评价分析项目绩效目标设立与项目内容的匹配程度，绩效目标的细化、量化、可衡量的程度，指标设置的规范性等；决策依据与现实需求的一致性；决策程序的规范性。</w:t>
      </w:r>
    </w:p>
    <w:p w14:paraId="3D184C73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项目管理情况</w:t>
      </w:r>
    </w:p>
    <w:p w14:paraId="6839BF07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评价工作组通过对项目管理阶段资料进行分析，查看预算批复文件及决算文件、管理制度、内部审核审批过程资料以及其他过程管理资料等，评价分析项目资金管理的科学、合理、规范性；项目组织、管理实施的严谨、有效、合理性等。</w:t>
      </w:r>
    </w:p>
    <w:p w14:paraId="0A6254ED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绩效目标完成情况</w:t>
      </w:r>
    </w:p>
    <w:p w14:paraId="7960B25B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评价工作组通过对项目绩效目标完成情况资料进行分析，通过查看绩效目标表、预算执行情况表、满意度调查、</w:t>
      </w:r>
      <w:r>
        <w:rPr>
          <w:rFonts w:ascii="仿宋_GB2312" w:eastAsia="仿宋_GB2312" w:hAnsi="黑体" w:hint="eastAsia"/>
          <w:sz w:val="28"/>
          <w:szCs w:val="28"/>
        </w:rPr>
        <w:t>绩效报告等，评价分析绩效目标实现的程度、产生的效果及影响等。</w:t>
      </w:r>
    </w:p>
    <w:p w14:paraId="0DA737F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5.</w:t>
      </w:r>
      <w:r>
        <w:rPr>
          <w:rFonts w:ascii="仿宋_GB2312" w:eastAsia="仿宋_GB2312" w:hAnsi="黑体" w:hint="eastAsia"/>
          <w:sz w:val="28"/>
          <w:szCs w:val="28"/>
        </w:rPr>
        <w:t>出具评价报告</w:t>
      </w:r>
    </w:p>
    <w:p w14:paraId="631B79D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评价工作组根据资料收集与审核情况，完成绩效评价报告初稿的撰写工作。</w:t>
      </w:r>
    </w:p>
    <w:p w14:paraId="301D1467" w14:textId="77777777" w:rsidR="00ED0080" w:rsidRDefault="00943AE9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三、</w:t>
      </w:r>
      <w:r>
        <w:rPr>
          <w:rFonts w:ascii="仿宋_GB2312" w:eastAsia="仿宋_GB2312" w:hAnsi="黑体" w:hint="eastAsia"/>
          <w:sz w:val="28"/>
          <w:szCs w:val="28"/>
        </w:rPr>
        <w:t>综合评价情况及评价结论</w:t>
      </w:r>
    </w:p>
    <w:p w14:paraId="66A4863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经评价工作组评议，该项目综合评价得分</w:t>
      </w:r>
      <w:r>
        <w:rPr>
          <w:rFonts w:ascii="仿宋_GB2312" w:eastAsia="仿宋_GB2312" w:hAnsi="黑体" w:hint="eastAsia"/>
          <w:sz w:val="28"/>
          <w:szCs w:val="28"/>
        </w:rPr>
        <w:t>87.60</w:t>
      </w:r>
      <w:r>
        <w:rPr>
          <w:rFonts w:ascii="仿宋_GB2312" w:eastAsia="仿宋_GB2312" w:hAnsi="黑体" w:hint="eastAsia"/>
          <w:sz w:val="28"/>
          <w:szCs w:val="28"/>
        </w:rPr>
        <w:t>分，具体得分详见项目支出指标体系及评分情况表，绩效评价级别为“良好”。</w:t>
      </w:r>
    </w:p>
    <w:p w14:paraId="50BDBACE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四、</w:t>
      </w:r>
      <w:r>
        <w:rPr>
          <w:rFonts w:ascii="仿宋_GB2312" w:eastAsia="仿宋_GB2312" w:hAnsi="黑体" w:hint="eastAsia"/>
          <w:sz w:val="28"/>
          <w:szCs w:val="28"/>
        </w:rPr>
        <w:t>绩效评价指标分析</w:t>
      </w:r>
    </w:p>
    <w:p w14:paraId="19B44DF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一）</w:t>
      </w:r>
      <w:r>
        <w:rPr>
          <w:rFonts w:ascii="仿宋_GB2312" w:eastAsia="仿宋_GB2312" w:hAnsi="黑体" w:hint="eastAsia"/>
          <w:sz w:val="28"/>
          <w:szCs w:val="28"/>
        </w:rPr>
        <w:t>项目决策情况</w:t>
      </w:r>
    </w:p>
    <w:p w14:paraId="35201AD5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为进一步树立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首都政法综治系统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的综合影响力，扩大对外宣传、展示政工形象、服务社会管理、强化交流互动，进一步发挥网络的实用价值，根据中共北京市委政法委会和首都社会管理综合治理委员会办公室《关于进一步加强首都政法综治网建设的通知》（京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政法发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〔</w:t>
      </w:r>
      <w:r>
        <w:rPr>
          <w:rFonts w:ascii="仿宋_GB2312" w:eastAsia="仿宋_GB2312" w:hAnsi="黑体" w:hint="eastAsia"/>
          <w:sz w:val="28"/>
          <w:szCs w:val="28"/>
        </w:rPr>
        <w:t>2014</w:t>
      </w:r>
      <w:r>
        <w:rPr>
          <w:rFonts w:ascii="仿宋_GB2312" w:eastAsia="仿宋_GB2312" w:hAnsi="黑体" w:hint="eastAsia"/>
          <w:sz w:val="28"/>
          <w:szCs w:val="28"/>
        </w:rPr>
        <w:t>〕</w:t>
      </w:r>
      <w:r>
        <w:rPr>
          <w:rFonts w:ascii="仿宋_GB2312" w:eastAsia="仿宋_GB2312" w:hAnsi="黑体" w:hint="eastAsia"/>
          <w:sz w:val="28"/>
          <w:szCs w:val="28"/>
        </w:rPr>
        <w:t>25</w:t>
      </w:r>
      <w:r>
        <w:rPr>
          <w:rFonts w:ascii="仿宋_GB2312" w:eastAsia="仿宋_GB2312" w:hAnsi="黑体" w:hint="eastAsia"/>
          <w:sz w:val="28"/>
          <w:szCs w:val="28"/>
        </w:rPr>
        <w:t>号）的精神，北京政法职业学院需持续加大人、财、物投入保障力度，承担起“十三五”期间网站建设运维责任，把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建设成为全国一流的政法类宣传网站，在做好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首都政法综治网宣传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工作的同时，基于网站平台，大力宣传了北京政法行业的先进队伍与先进个人，树立了政法队伍的正</w:t>
      </w:r>
      <w:r>
        <w:rPr>
          <w:rFonts w:ascii="仿宋_GB2312" w:eastAsia="仿宋_GB2312" w:hAnsi="黑体" w:hint="eastAsia"/>
          <w:sz w:val="28"/>
          <w:szCs w:val="28"/>
        </w:rPr>
        <w:t>面形象，为政府的舆论引导工作做了大量有价值有意义的工作。</w:t>
      </w:r>
    </w:p>
    <w:p w14:paraId="2BB21AE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二）</w:t>
      </w:r>
      <w:r>
        <w:rPr>
          <w:rFonts w:ascii="仿宋_GB2312" w:eastAsia="仿宋_GB2312" w:hAnsi="黑体" w:hint="eastAsia"/>
          <w:sz w:val="28"/>
          <w:szCs w:val="28"/>
        </w:rPr>
        <w:t>项目过程情况</w:t>
      </w:r>
    </w:p>
    <w:p w14:paraId="6ABEA1E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资金使用及管理情况分析</w:t>
      </w:r>
    </w:p>
    <w:p w14:paraId="2E55E52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该项目申报预算金额</w:t>
      </w:r>
      <w:r>
        <w:rPr>
          <w:rFonts w:ascii="仿宋_GB2312" w:eastAsia="仿宋_GB2312" w:hAnsi="黑体" w:hint="eastAsia"/>
          <w:sz w:val="28"/>
          <w:szCs w:val="28"/>
        </w:rPr>
        <w:t>837.85</w:t>
      </w:r>
      <w:r>
        <w:rPr>
          <w:rFonts w:ascii="仿宋_GB2312" w:eastAsia="仿宋_GB2312" w:hAnsi="黑体" w:hint="eastAsia"/>
          <w:sz w:val="28"/>
          <w:szCs w:val="28"/>
        </w:rPr>
        <w:t>万元，年初财政批复预算</w:t>
      </w:r>
      <w:r>
        <w:rPr>
          <w:rFonts w:ascii="仿宋_GB2312" w:eastAsia="仿宋_GB2312" w:hAnsi="黑体" w:hint="eastAsia"/>
          <w:sz w:val="28"/>
          <w:szCs w:val="28"/>
        </w:rPr>
        <w:t>837.85</w:t>
      </w:r>
      <w:r>
        <w:rPr>
          <w:rFonts w:ascii="仿宋_GB2312" w:eastAsia="仿宋_GB2312" w:hAnsi="黑体" w:hint="eastAsia"/>
          <w:sz w:val="28"/>
          <w:szCs w:val="28"/>
        </w:rPr>
        <w:t>万元，全部为财政资金。</w:t>
      </w: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仿宋_GB2312" w:eastAsia="仿宋_GB2312" w:hAnsi="黑体" w:hint="eastAsia"/>
          <w:sz w:val="28"/>
          <w:szCs w:val="28"/>
        </w:rPr>
        <w:t>年度资金全部到位，受疫情</w:t>
      </w:r>
      <w:r>
        <w:rPr>
          <w:rFonts w:ascii="仿宋_GB2312" w:eastAsia="仿宋_GB2312" w:hAnsi="黑体"/>
          <w:sz w:val="28"/>
          <w:szCs w:val="28"/>
        </w:rPr>
        <w:t>影响，</w:t>
      </w:r>
      <w:r>
        <w:rPr>
          <w:rFonts w:ascii="仿宋_GB2312" w:eastAsia="仿宋_GB2312" w:hAnsi="黑体" w:hint="eastAsia"/>
          <w:sz w:val="28"/>
          <w:szCs w:val="28"/>
        </w:rPr>
        <w:t>第四季度调减资金</w:t>
      </w:r>
      <w:r>
        <w:rPr>
          <w:rFonts w:ascii="仿宋_GB2312" w:eastAsia="仿宋_GB2312" w:hAnsi="黑体" w:hint="eastAsia"/>
          <w:sz w:val="28"/>
          <w:szCs w:val="28"/>
        </w:rPr>
        <w:t>15.77</w:t>
      </w:r>
      <w:r>
        <w:rPr>
          <w:rFonts w:ascii="仿宋_GB2312" w:eastAsia="仿宋_GB2312" w:hAnsi="黑体" w:hint="eastAsia"/>
          <w:sz w:val="28"/>
          <w:szCs w:val="28"/>
        </w:rPr>
        <w:t>万元，实际预算资金为</w:t>
      </w:r>
      <w:r>
        <w:rPr>
          <w:rFonts w:ascii="仿宋_GB2312" w:eastAsia="仿宋_GB2312" w:hAnsi="黑体" w:hint="eastAsia"/>
          <w:sz w:val="28"/>
          <w:szCs w:val="28"/>
        </w:rPr>
        <w:t>822.08</w:t>
      </w:r>
      <w:r>
        <w:rPr>
          <w:rFonts w:ascii="仿宋_GB2312" w:eastAsia="仿宋_GB2312" w:hAnsi="黑体" w:hint="eastAsia"/>
          <w:sz w:val="28"/>
          <w:szCs w:val="28"/>
        </w:rPr>
        <w:t>万元。在项目实施过程中，根据项目合同以及实际需求，本年度预算资金使用共计</w:t>
      </w:r>
      <w:r>
        <w:rPr>
          <w:rFonts w:ascii="仿宋_GB2312" w:eastAsia="仿宋_GB2312" w:hAnsi="黑体" w:hint="eastAsia"/>
          <w:sz w:val="28"/>
          <w:szCs w:val="28"/>
        </w:rPr>
        <w:t>801.55</w:t>
      </w:r>
      <w:r>
        <w:rPr>
          <w:rFonts w:ascii="仿宋_GB2312" w:eastAsia="仿宋_GB2312" w:hAnsi="黑体" w:hint="eastAsia"/>
          <w:sz w:val="28"/>
          <w:szCs w:val="28"/>
        </w:rPr>
        <w:t>万元，预算执行率为</w:t>
      </w:r>
      <w:r>
        <w:rPr>
          <w:rFonts w:ascii="仿宋_GB2312" w:eastAsia="仿宋_GB2312" w:hAnsi="黑体" w:hint="eastAsia"/>
          <w:sz w:val="28"/>
          <w:szCs w:val="28"/>
        </w:rPr>
        <w:t>97.50%</w:t>
      </w:r>
      <w:r>
        <w:rPr>
          <w:rFonts w:ascii="仿宋_GB2312" w:eastAsia="仿宋_GB2312" w:hAnsi="黑体" w:hint="eastAsia"/>
          <w:sz w:val="28"/>
          <w:szCs w:val="28"/>
        </w:rPr>
        <w:t>，结余资金</w:t>
      </w:r>
      <w:r>
        <w:rPr>
          <w:rFonts w:ascii="仿宋_GB2312" w:eastAsia="仿宋_GB2312" w:hAnsi="黑体" w:hint="eastAsia"/>
          <w:sz w:val="28"/>
          <w:szCs w:val="28"/>
        </w:rPr>
        <w:t>20.53</w:t>
      </w:r>
      <w:r>
        <w:rPr>
          <w:rFonts w:ascii="仿宋_GB2312" w:eastAsia="仿宋_GB2312" w:hAnsi="黑体" w:hint="eastAsia"/>
          <w:sz w:val="28"/>
          <w:szCs w:val="28"/>
        </w:rPr>
        <w:t>万元。</w:t>
      </w:r>
    </w:p>
    <w:p w14:paraId="3045A30D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学院对项目资金的预算管理、资金使用、会计核算均是按照《中华人民共和国预算法》、《中</w:t>
      </w:r>
      <w:r>
        <w:rPr>
          <w:rFonts w:ascii="仿宋_GB2312" w:eastAsia="仿宋_GB2312" w:hAnsi="黑体" w:hint="eastAsia"/>
          <w:sz w:val="28"/>
          <w:szCs w:val="28"/>
        </w:rPr>
        <w:t>华人民共和国预算法实施条例》、《事业单位会计制度》及市财政局预算管理等相关文件规定执行。</w:t>
      </w:r>
    </w:p>
    <w:p w14:paraId="7A8CE9EF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为进一步健全财务管理制度，学院还在原有财务管理制度的基础上，紧跟近年财政财务改革的方向，根据市财政局各项有关文件，制定了《关于落实“三重一大”决策制度的实施办法》、《党委会议事规则》、《院长办公会议事规则》、《财务管理办法》、《内部审计工作联席会议制度（试行）》、《内部审计工作规定（试行）》、《预算管理办法》、《项目管理暂行办法》、《项目支出预算管理暂行办法》、《教改项目经费管理实施细则（试行）》、《采购管理办法》、《</w:t>
      </w:r>
      <w:r>
        <w:rPr>
          <w:rFonts w:ascii="仿宋_GB2312" w:eastAsia="仿宋_GB2312" w:hAnsi="黑体" w:hint="eastAsia"/>
          <w:sz w:val="28"/>
          <w:szCs w:val="28"/>
        </w:rPr>
        <w:t>招投标工作纪律》、《招投标采购工作禁令》、《仪器设备验收管理规定》、《项目采购监督管理暂行办法》等规范性文件，财务管理制度健全。</w:t>
      </w:r>
    </w:p>
    <w:p w14:paraId="0AF7693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在实际发生项目资金支出时，部门根据</w:t>
      </w: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仿宋_GB2312" w:eastAsia="仿宋_GB2312" w:hAnsi="黑体" w:hint="eastAsia"/>
          <w:sz w:val="28"/>
          <w:szCs w:val="28"/>
        </w:rPr>
        <w:t>年度经费预算批复及业务部门开展业务的需要，填制资金支付申请，列明资金支出内容和实际金额，按资金支出审批权限经部门领导或主管领导审核资金支出的合理、合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性。财务处根据领导批示，及时、足额拨付资金，保障各项工作顺利进行。各项制度严格、有效的执行，切实保证了专项资金的使用效益，提高了财务管理水平。</w:t>
      </w:r>
    </w:p>
    <w:p w14:paraId="508C3254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项目资金足额、及时拨付到位；预算执行率高；单位</w:t>
      </w:r>
      <w:r>
        <w:rPr>
          <w:rFonts w:ascii="仿宋_GB2312" w:eastAsia="仿宋_GB2312" w:hAnsi="黑体" w:hint="eastAsia"/>
          <w:sz w:val="28"/>
          <w:szCs w:val="28"/>
        </w:rPr>
        <w:t>财务管理制度基本健全，且执行有效。</w:t>
      </w:r>
    </w:p>
    <w:p w14:paraId="2D73A811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项目组织情况</w:t>
      </w:r>
    </w:p>
    <w:p w14:paraId="49036F1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由北京政法网运管中心负责对项目实施进行统一指挥安排、领导监督。负责整体项目的市场调研、方案规划、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资金预算、项目实施以及设备、人员的管理等工作。</w:t>
      </w:r>
    </w:p>
    <w:p w14:paraId="23C89F51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2019</w:t>
      </w:r>
      <w:r>
        <w:rPr>
          <w:rFonts w:ascii="仿宋_GB2312" w:eastAsia="仿宋_GB2312" w:hAnsi="黑体" w:hint="eastAsia"/>
          <w:sz w:val="28"/>
          <w:szCs w:val="28"/>
        </w:rPr>
        <w:t>年，按照财政预算编制要求，编制该项目预算；</w:t>
      </w:r>
      <w:r>
        <w:rPr>
          <w:rFonts w:ascii="仿宋_GB2312" w:eastAsia="仿宋_GB2312" w:hAnsi="黑体" w:hint="eastAsia"/>
          <w:sz w:val="28"/>
          <w:szCs w:val="28"/>
        </w:rPr>
        <w:t>2020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10</w:t>
      </w:r>
      <w:r>
        <w:rPr>
          <w:rFonts w:ascii="仿宋_GB2312" w:eastAsia="仿宋_GB2312" w:hAnsi="黑体" w:hint="eastAsia"/>
          <w:sz w:val="28"/>
          <w:szCs w:val="28"/>
        </w:rPr>
        <w:t>月，由项目单位、北京中百信息技术股份有限公司（监理单位）及首都信息发展股份有限公司（施工单位）对项目进行共同验收，验收通过后由北京中百信息技术股份有限公司出具了验收报告。</w:t>
      </w:r>
    </w:p>
    <w:p w14:paraId="6294AC7B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该项目组织比较有利，保质保量完成了项目的组织实施，较好的完成了工作任务，实现了</w:t>
      </w:r>
      <w:r>
        <w:rPr>
          <w:rFonts w:ascii="仿宋_GB2312" w:eastAsia="仿宋_GB2312" w:hAnsi="黑体" w:hint="eastAsia"/>
          <w:sz w:val="28"/>
          <w:szCs w:val="28"/>
        </w:rPr>
        <w:t>预期目标。</w:t>
      </w:r>
    </w:p>
    <w:p w14:paraId="7CA9E483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项目管理情况</w:t>
      </w:r>
    </w:p>
    <w:p w14:paraId="1CB08322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为进一步完善项目管理，学院按照内部管理制度要求，安排项目采购、合同签订和资金支付等事宜。主要依据《关于落实“三重一大”决策制度的实施办法》、《党委会议事规则》、《院长办公会议事规则》、《财务管理办法》、《内部审计工作联席会议制度（试行）》、《内部审计工作规定（试行）》、《预算管理办法》、《项目管理暂行办法》、《项目支出预算管理暂行办法》、《采购管理办法》、《招投标工作纪律》、《招投标采购工作禁令》、《仪器设备验收管理规定》、《项目采购监督管理暂行办法》等进行项目管理控制。</w:t>
      </w:r>
    </w:p>
    <w:p w14:paraId="3AA3677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</w:t>
      </w:r>
      <w:r>
        <w:rPr>
          <w:rFonts w:ascii="仿宋_GB2312" w:eastAsia="仿宋_GB2312" w:hAnsi="黑体" w:hint="eastAsia"/>
          <w:sz w:val="28"/>
          <w:szCs w:val="28"/>
        </w:rPr>
        <w:t>目管理机构基本健全，项目管理过程有效，能够按照计划完成，项目管理较为规范。</w:t>
      </w:r>
    </w:p>
    <w:p w14:paraId="29C568A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三）</w:t>
      </w:r>
      <w:r>
        <w:rPr>
          <w:rFonts w:ascii="仿宋_GB2312" w:eastAsia="仿宋_GB2312" w:hAnsi="黑体" w:hint="eastAsia"/>
          <w:sz w:val="28"/>
          <w:szCs w:val="28"/>
        </w:rPr>
        <w:t>项目产出及效果评价分析</w:t>
      </w:r>
    </w:p>
    <w:p w14:paraId="154D4E8D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1.</w:t>
      </w:r>
      <w:r>
        <w:rPr>
          <w:rFonts w:ascii="仿宋_GB2312" w:eastAsia="仿宋_GB2312" w:hAnsi="黑体" w:hint="eastAsia"/>
          <w:sz w:val="28"/>
          <w:szCs w:val="28"/>
        </w:rPr>
        <w:t>项目经济性分析</w:t>
      </w:r>
    </w:p>
    <w:p w14:paraId="51CB3650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该项目按照预算批复和相关规定使用财政资金，预算执行</w:t>
      </w:r>
      <w:r>
        <w:rPr>
          <w:rFonts w:ascii="仿宋_GB2312" w:eastAsia="仿宋_GB2312" w:hAnsi="黑体" w:hint="eastAsia"/>
          <w:sz w:val="28"/>
          <w:szCs w:val="28"/>
        </w:rPr>
        <w:t>801.55</w:t>
      </w:r>
      <w:r>
        <w:rPr>
          <w:rFonts w:ascii="仿宋_GB2312" w:eastAsia="仿宋_GB2312" w:hAnsi="黑体" w:hint="eastAsia"/>
          <w:sz w:val="28"/>
          <w:szCs w:val="28"/>
        </w:rPr>
        <w:t>万元，全部用于该项目组织实施。该项目成本控制情况良好，在预算金额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内较好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的完成了项目，实现了预期目标。</w:t>
      </w:r>
    </w:p>
    <w:p w14:paraId="7BEF72A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项目效率性分析</w:t>
      </w:r>
    </w:p>
    <w:p w14:paraId="2C0E577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项目的实施进度</w:t>
      </w:r>
    </w:p>
    <w:p w14:paraId="3D3E7887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该项目各阶段进度按照学院工作计划进行，根据实际需求更新维护服务器与网络设备，确保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及其相关业务平台长期稳定运行。项目实施进度控制在预期时效内，达到了预期进度目标。</w:t>
      </w:r>
    </w:p>
    <w:p w14:paraId="20A2960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项目完成质量</w:t>
      </w:r>
    </w:p>
    <w:p w14:paraId="1862733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该项目各项工作按计划、合同规定有序开展。</w:t>
      </w:r>
    </w:p>
    <w:p w14:paraId="13EAFBAB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该项目以政法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综治网运行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管理的实际需求为出发点，以一站式综合服务创新为主导，兼顾垂直行业管理体系。本项目实施后，针对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的特点和需求，进一步规范网站管理、扩大宣传及影响，充分发挥网站效能，在服务政法、综治中心工作中发挥更好、更积极的作用。同时，通过深入研究、不断探索、积极学习适时引进新技术，设立新项目，使网站建设步入政府官方正规化管理轨道。全面做好“网络舆情信息采集与分析”系统的完善工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作，更好、更及时、更准确地提供相关信息，为北京政法综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治维</w:t>
      </w:r>
      <w:r>
        <w:rPr>
          <w:rFonts w:ascii="仿宋_GB2312" w:eastAsia="仿宋_GB2312" w:hAnsi="黑体" w:hint="eastAsia"/>
          <w:sz w:val="28"/>
          <w:szCs w:val="28"/>
        </w:rPr>
        <w:t>稳服务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好。</w:t>
      </w:r>
    </w:p>
    <w:p w14:paraId="38C59E2C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综上所述，该项目整体完成质量情况良好，实现了预期的绩效目标。</w:t>
      </w:r>
    </w:p>
    <w:p w14:paraId="1051C9AA" w14:textId="279EE763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项目效益性分析</w:t>
      </w:r>
    </w:p>
    <w:p w14:paraId="2CB243C5" w14:textId="15F5B0D4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</w:t>
      </w:r>
      <w:r>
        <w:rPr>
          <w:rFonts w:ascii="仿宋_GB2312" w:eastAsia="仿宋_GB2312" w:hAnsi="黑体" w:hint="eastAsia"/>
          <w:sz w:val="28"/>
          <w:szCs w:val="28"/>
        </w:rPr>
        <w:t>项目预期目标完成情况</w:t>
      </w:r>
    </w:p>
    <w:p w14:paraId="4DDE9B35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院通过该项目的实施，通过深入研究、不断探索、积极学习适时引进新技术，使网站建设工作逐步步入政府官方正规化管理的轨道。全面做好“网络舆情信息采集与分析”系统的完善工作更好、更及时、更准确地提供相关信息，为北京政法综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治维稳服务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好。综上所述，项目较好地完成了年初设定的绩效目标。</w:t>
      </w:r>
    </w:p>
    <w:p w14:paraId="6FF51465" w14:textId="2FC29C31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</w:t>
      </w:r>
      <w:r>
        <w:rPr>
          <w:rFonts w:ascii="仿宋_GB2312" w:eastAsia="仿宋_GB2312" w:hAnsi="黑体" w:hint="eastAsia"/>
          <w:sz w:val="28"/>
          <w:szCs w:val="28"/>
        </w:rPr>
        <w:t>项目实施对社会的影响</w:t>
      </w:r>
    </w:p>
    <w:p w14:paraId="281C6639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该项目实施产生的社会效果较明显。通过规范网站管理、扩大宣传及影响，成为全国多家省、市政法</w:t>
      </w:r>
      <w:r>
        <w:rPr>
          <w:rFonts w:ascii="仿宋_GB2312" w:eastAsia="仿宋_GB2312" w:hAnsi="黑体" w:hint="eastAsia"/>
          <w:sz w:val="28"/>
          <w:szCs w:val="28"/>
        </w:rPr>
        <w:t>系统网站建设的典范，在项目资金落实以后，进一步加大新闻报道的力度，完善采写设备，加强人员专业培训，适时引进专门人才，全面增加网站图文视频直播、视频拍摄等多媒体宣传力度，增加网站的对外交流，更快推进市委政法委提出的建成权威网站。</w:t>
      </w:r>
    </w:p>
    <w:p w14:paraId="648A522D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项目以政法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综治网运行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管理的实际需求为出发点，以一站式综合服务创新为主导，兼顾垂直行业管理体系。在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详细调研的基础上，充分考虑利用了政法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综治网各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部门已有软件系统、硬件设备，节省投资，避免重复建设。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具有党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领导下的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系统的特色形象；便捷、人性化综合一站式服务的特点。</w:t>
      </w:r>
    </w:p>
    <w:p w14:paraId="297F6E67" w14:textId="6F4E6EC0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（3）</w:t>
      </w:r>
      <w:r>
        <w:rPr>
          <w:rFonts w:ascii="仿宋_GB2312" w:eastAsia="仿宋_GB2312" w:hAnsi="黑体" w:hint="eastAsia"/>
          <w:sz w:val="28"/>
          <w:szCs w:val="28"/>
        </w:rPr>
        <w:t>项目可持续影响</w:t>
      </w:r>
    </w:p>
    <w:p w14:paraId="18BB280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本项目实施后，针对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的特点和需求，将进一步规范网站管理、扩大宣传及影响，充分发挥网站效能，在服务政法、综治中心工作中发挥更好、更积极的作用。对于保障信息化系统的规范化、标准化，实现可持续性发展作用比较明显。</w:t>
      </w:r>
    </w:p>
    <w:p w14:paraId="5EFB80BD" w14:textId="08795E1D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（4）</w:t>
      </w:r>
      <w:r>
        <w:rPr>
          <w:rFonts w:ascii="仿宋_GB2312" w:eastAsia="仿宋_GB2312" w:hAnsi="黑体" w:hint="eastAsia"/>
          <w:sz w:val="28"/>
          <w:szCs w:val="28"/>
        </w:rPr>
        <w:t>服务对象满意度</w:t>
      </w:r>
    </w:p>
    <w:p w14:paraId="7186B796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proofErr w:type="gramStart"/>
      <w:r>
        <w:rPr>
          <w:rFonts w:ascii="仿宋_GB2312" w:eastAsia="仿宋_GB2312" w:hAnsi="黑体" w:hint="eastAsia"/>
          <w:sz w:val="28"/>
          <w:szCs w:val="28"/>
        </w:rPr>
        <w:t>首都政法综治网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及其相关业务平台运行系统投入使用后，由首都信息发展股份有限公司从网站性能、美观性、整体服务、栏目功能等方面进行了满意度调查。在调查人群选取上，充分考虑了性别分布、年龄分布及学历分布。调查结果满意度达到</w:t>
      </w:r>
      <w:r>
        <w:rPr>
          <w:rFonts w:ascii="仿宋_GB2312" w:eastAsia="仿宋_GB2312" w:hAnsi="黑体" w:hint="eastAsia"/>
          <w:sz w:val="28"/>
          <w:szCs w:val="28"/>
        </w:rPr>
        <w:t>99%</w:t>
      </w:r>
      <w:r>
        <w:rPr>
          <w:rFonts w:ascii="仿宋_GB2312" w:eastAsia="仿宋_GB2312" w:hAnsi="黑体" w:hint="eastAsia"/>
          <w:sz w:val="28"/>
          <w:szCs w:val="28"/>
        </w:rPr>
        <w:t>，完成了满意度指标预期值，同时满意度调查设计较为科</w:t>
      </w:r>
      <w:r>
        <w:rPr>
          <w:rFonts w:ascii="仿宋_GB2312" w:eastAsia="仿宋_GB2312" w:hAnsi="黑体" w:hint="eastAsia"/>
          <w:sz w:val="28"/>
          <w:szCs w:val="28"/>
        </w:rPr>
        <w:t>学，抽样人群比例合理。</w:t>
      </w:r>
    </w:p>
    <w:p w14:paraId="583DE908" w14:textId="77777777" w:rsidR="00ED0080" w:rsidRDefault="00943AE9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五、</w:t>
      </w:r>
      <w:r>
        <w:rPr>
          <w:rFonts w:ascii="仿宋_GB2312" w:eastAsia="仿宋_GB2312" w:hAnsi="黑体" w:hint="eastAsia"/>
          <w:sz w:val="28"/>
          <w:szCs w:val="28"/>
        </w:rPr>
        <w:t>主要经验及做法、存在的问题及原因分析</w:t>
      </w:r>
    </w:p>
    <w:p w14:paraId="5A21B557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该项目是一个运维项目，具有持续性，但是项目单位对于该项目缺少长期规划，对于多年来政法网优化维护前后，在哪些方面有所提升、提升多少缺乏明确的数据统计及对比，项目成效体现不够清晰。</w:t>
      </w:r>
    </w:p>
    <w:p w14:paraId="5A36B7DA" w14:textId="77777777" w:rsidR="00ED0080" w:rsidRDefault="00943AE9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六、</w:t>
      </w:r>
      <w:r>
        <w:rPr>
          <w:rFonts w:ascii="仿宋_GB2312" w:eastAsia="仿宋_GB2312" w:hAnsi="黑体" w:hint="eastAsia"/>
          <w:sz w:val="28"/>
          <w:szCs w:val="28"/>
        </w:rPr>
        <w:t>有关建议</w:t>
      </w:r>
    </w:p>
    <w:p w14:paraId="0037F998" w14:textId="77777777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加强优化前后性能数据的采集及汇总分析，项目实施后的效益效果，应考虑以数据的形式，直观的，可量化的体现出来。</w:t>
      </w:r>
    </w:p>
    <w:p w14:paraId="5A6D736D" w14:textId="77777777" w:rsidR="00943AE9" w:rsidRDefault="00943AE9">
      <w:pPr>
        <w:widowControl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br w:type="page"/>
      </w:r>
    </w:p>
    <w:p w14:paraId="7E6EF60F" w14:textId="20BEFFF1" w:rsidR="00ED0080" w:rsidRDefault="00943AE9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lastRenderedPageBreak/>
        <w:t>七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/>
          <w:sz w:val="28"/>
          <w:szCs w:val="28"/>
        </w:rPr>
        <w:t>附件</w:t>
      </w:r>
    </w:p>
    <w:p w14:paraId="01E2A659" w14:textId="77777777" w:rsidR="00ED0080" w:rsidRDefault="00943AE9">
      <w:pPr>
        <w:spacing w:line="360" w:lineRule="auto"/>
        <w:ind w:firstLineChars="200" w:firstLine="560"/>
        <w:outlineLvl w:val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一）</w:t>
      </w:r>
      <w:r>
        <w:rPr>
          <w:rFonts w:ascii="仿宋_GB2312" w:eastAsia="仿宋_GB2312" w:hAnsi="黑体" w:hint="eastAsia"/>
          <w:sz w:val="28"/>
          <w:szCs w:val="28"/>
        </w:rPr>
        <w:t>项目预算执行情况表</w:t>
      </w:r>
    </w:p>
    <w:tbl>
      <w:tblPr>
        <w:tblpPr w:leftFromText="180" w:rightFromText="180" w:vertAnchor="page" w:horzAnchor="margin" w:tblpXSpec="center" w:tblpY="3137"/>
        <w:tblW w:w="147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"/>
        <w:gridCol w:w="331"/>
        <w:gridCol w:w="674"/>
        <w:gridCol w:w="674"/>
        <w:gridCol w:w="698"/>
        <w:gridCol w:w="648"/>
        <w:gridCol w:w="486"/>
        <w:gridCol w:w="489"/>
        <w:gridCol w:w="701"/>
        <w:gridCol w:w="521"/>
        <w:gridCol w:w="131"/>
        <w:gridCol w:w="543"/>
        <w:gridCol w:w="166"/>
        <w:gridCol w:w="509"/>
        <w:gridCol w:w="200"/>
        <w:gridCol w:w="709"/>
        <w:gridCol w:w="439"/>
        <w:gridCol w:w="269"/>
        <w:gridCol w:w="186"/>
        <w:gridCol w:w="523"/>
        <w:gridCol w:w="694"/>
        <w:gridCol w:w="15"/>
        <w:gridCol w:w="283"/>
        <w:gridCol w:w="376"/>
        <w:gridCol w:w="191"/>
        <w:gridCol w:w="347"/>
        <w:gridCol w:w="675"/>
        <w:gridCol w:w="674"/>
        <w:gridCol w:w="489"/>
        <w:gridCol w:w="675"/>
        <w:gridCol w:w="508"/>
      </w:tblGrid>
      <w:tr w:rsidR="00943AE9" w14:paraId="1960AB0D" w14:textId="77777777" w:rsidTr="00943AE9">
        <w:trPr>
          <w:trHeight w:val="595"/>
        </w:trPr>
        <w:tc>
          <w:tcPr>
            <w:tcW w:w="14738" w:type="dxa"/>
            <w:gridSpan w:val="31"/>
          </w:tcPr>
          <w:p w14:paraId="1856AB31" w14:textId="77777777" w:rsidR="00943AE9" w:rsidRDefault="00943AE9" w:rsidP="00943AE9">
            <w:pPr>
              <w:pStyle w:val="2"/>
              <w:spacing w:before="0" w:after="0" w:line="500" w:lineRule="exact"/>
              <w:jc w:val="center"/>
              <w:rPr>
                <w:rFonts w:ascii="方正小标宋_GBK" w:eastAsia="方正小标宋_GBK"/>
                <w:b w:val="0"/>
                <w:sz w:val="40"/>
                <w:szCs w:val="44"/>
              </w:rPr>
            </w:pPr>
            <w:bookmarkStart w:id="0" w:name="_Toc318275102"/>
            <w:bookmarkEnd w:id="0"/>
            <w:r>
              <w:rPr>
                <w:rFonts w:ascii="方正小标宋_GBK" w:eastAsia="方正小标宋_GBK" w:hint="eastAsia"/>
                <w:b w:val="0"/>
                <w:sz w:val="40"/>
                <w:szCs w:val="44"/>
              </w:rPr>
              <w:t>北京政法职业学院20</w:t>
            </w:r>
            <w:r>
              <w:rPr>
                <w:rFonts w:ascii="方正小标宋_GBK" w:eastAsia="方正小标宋_GBK"/>
                <w:b w:val="0"/>
                <w:sz w:val="40"/>
                <w:szCs w:val="44"/>
              </w:rPr>
              <w:t>20</w:t>
            </w:r>
            <w:r>
              <w:rPr>
                <w:rFonts w:ascii="方正小标宋_GBK" w:eastAsia="方正小标宋_GBK" w:hint="eastAsia"/>
                <w:b w:val="0"/>
                <w:sz w:val="40"/>
                <w:szCs w:val="44"/>
              </w:rPr>
              <w:t>年度项目预算执行情况表</w:t>
            </w:r>
          </w:p>
          <w:p w14:paraId="4FF23178" w14:textId="77777777" w:rsidR="00943AE9" w:rsidRDefault="00943AE9" w:rsidP="00943AE9"/>
        </w:tc>
      </w:tr>
      <w:tr w:rsidR="00943AE9" w14:paraId="39404ABC" w14:textId="77777777" w:rsidTr="00943AE9">
        <w:trPr>
          <w:trHeight w:val="350"/>
        </w:trPr>
        <w:tc>
          <w:tcPr>
            <w:tcW w:w="5615" w:type="dxa"/>
            <w:gridSpan w:val="9"/>
            <w:tcBorders>
              <w:bottom w:val="single" w:sz="4" w:space="0" w:color="auto"/>
            </w:tcBorders>
            <w:vAlign w:val="center"/>
          </w:tcPr>
          <w:p w14:paraId="2C8EDF20" w14:textId="77777777" w:rsidR="00943AE9" w:rsidRDefault="00943AE9" w:rsidP="00943AE9">
            <w:pPr>
              <w:autoSpaceDE w:val="0"/>
              <w:autoSpaceDN w:val="0"/>
              <w:adjustRightInd w:val="0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项目名称：</w:t>
            </w:r>
            <w:proofErr w:type="gramStart"/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首都政法综治网</w:t>
            </w:r>
            <w:proofErr w:type="gramEnd"/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年度运维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00129A7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vAlign w:val="center"/>
          </w:tcPr>
          <w:p w14:paraId="64BC271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14:paraId="213453C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center"/>
          </w:tcPr>
          <w:p w14:paraId="6F7DF5A4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14:paraId="4E458F4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5D97B7E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4" w:space="0" w:color="auto"/>
            </w:tcBorders>
            <w:vAlign w:val="center"/>
          </w:tcPr>
          <w:p w14:paraId="207793A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2667587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5BA747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D122CB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14:paraId="7D4ACA50" w14:textId="77777777" w:rsidR="00943AE9" w:rsidRDefault="00943AE9" w:rsidP="00943AE9">
            <w:pPr>
              <w:autoSpaceDE w:val="0"/>
              <w:autoSpaceDN w:val="0"/>
              <w:adjustRightInd w:val="0"/>
              <w:jc w:val="right"/>
              <w:rPr>
                <w:rFonts w:ascii="宋体" w:hAnsi="Calibr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43AE9" w14:paraId="4125446A" w14:textId="77777777" w:rsidTr="00943AE9">
        <w:trPr>
          <w:trHeight w:val="413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FE8E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171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预算批复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CA4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资金到位情况</w:t>
            </w:r>
          </w:p>
        </w:tc>
        <w:tc>
          <w:tcPr>
            <w:tcW w:w="6803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3E50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预算执行情况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4F51F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本年支出进度（</w:t>
            </w: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2E79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执行差额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EBA53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资金超支率（</w:t>
            </w: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DC68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43AE9" w14:paraId="7C9533C0" w14:textId="77777777" w:rsidTr="00943AE9">
        <w:trPr>
          <w:trHeight w:val="262"/>
        </w:trPr>
        <w:tc>
          <w:tcPr>
            <w:tcW w:w="1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BE728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C344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总预算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AD769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AB0B3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A3C10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第一、二季度</w:t>
            </w:r>
          </w:p>
        </w:tc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EE7A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B156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17279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118C89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4931E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90CEF8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4D916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D0700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6217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1FC90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跨年支出</w:t>
            </w:r>
          </w:p>
        </w:tc>
        <w:tc>
          <w:tcPr>
            <w:tcW w:w="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FB48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6DBEF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2EED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执行差额数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21018" w14:textId="77777777" w:rsidR="00943AE9" w:rsidRDefault="00943AE9" w:rsidP="00943AE9">
            <w:pPr>
              <w:autoSpaceDE w:val="0"/>
              <w:autoSpaceDN w:val="0"/>
              <w:adjustRightInd w:val="0"/>
              <w:ind w:firstLineChars="8" w:firstLine="14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差额原因</w:t>
            </w:r>
          </w:p>
        </w:tc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0159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09873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3AE9" w14:paraId="2CF9DAA5" w14:textId="77777777" w:rsidTr="00943AE9">
        <w:trPr>
          <w:trHeight w:val="708"/>
        </w:trPr>
        <w:tc>
          <w:tcPr>
            <w:tcW w:w="1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F46B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690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C78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728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F293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AE1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AD80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FF1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C4E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EBC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第一、二季度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FAC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453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386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B70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AD2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019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F0A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F45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739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5A73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D6C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6FF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7BD9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3AE9" w14:paraId="7578E8C9" w14:textId="77777777" w:rsidTr="00943AE9">
        <w:trPr>
          <w:trHeight w:val="402"/>
        </w:trPr>
        <w:tc>
          <w:tcPr>
            <w:tcW w:w="1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C93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9560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85E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C1E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D1D4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5EE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6FD3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F36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8D84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D08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A123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8A3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2DC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59E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C8C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80E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3A9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ABD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249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610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C95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13B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7E3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943AE9" w14:paraId="2FDFFF15" w14:textId="77777777" w:rsidTr="00943AE9">
        <w:trPr>
          <w:trHeight w:val="40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7662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8943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C30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822.08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CEC4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822.08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80C4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822.08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8F74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837.85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2D8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875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-15.77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E30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801.5</w:t>
            </w: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562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801.55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E6C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16.03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BE4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97F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610.80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D29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610.80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FDD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174.72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C9A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174.72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7CA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12D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0CF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DB6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97.50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505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-20.53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FE5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216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-2.50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39E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3AE9" w14:paraId="14C067BF" w14:textId="77777777" w:rsidTr="00943AE9">
        <w:trPr>
          <w:trHeight w:val="4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9522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首都政法综治网</w:t>
            </w:r>
            <w:proofErr w:type="gramEnd"/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年度运维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FE4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148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822.08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63D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822.08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7AFD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822.08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F8C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837.85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CA79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4CF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-15.77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69E1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801.5</w:t>
            </w: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BCA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801.55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F2F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16.03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AC4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ACC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610.80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84E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610.80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27A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174.72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C095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174.72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CD3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ED47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BA5F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B8D6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97.50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B9EB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18"/>
                <w:szCs w:val="18"/>
              </w:rPr>
              <w:t>-20.53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2D7C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C1F8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  <w:t>-2.50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0B5A" w14:textId="77777777" w:rsidR="00943AE9" w:rsidRDefault="00943AE9" w:rsidP="00943AE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3AE9" w14:paraId="5D7D9CF5" w14:textId="77777777" w:rsidTr="00943AE9">
        <w:trPr>
          <w:trHeight w:val="1526"/>
        </w:trPr>
        <w:tc>
          <w:tcPr>
            <w:tcW w:w="14738" w:type="dxa"/>
            <w:gridSpan w:val="31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BB04" w14:textId="77777777" w:rsidR="00943AE9" w:rsidRDefault="00943AE9" w:rsidP="00943AE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此表按项目支出年度分项目进行填写；</w:t>
            </w:r>
          </w:p>
          <w:p w14:paraId="4B0B5DDF" w14:textId="77777777" w:rsidR="00943AE9" w:rsidRDefault="00943AE9" w:rsidP="00943AE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 xml:space="preserve">    2.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“跨年支出”是指个别特殊性项目，当年预算未执行完毕，在下一年度支出的预算资金，时间填列到最后一次支出的日期；</w:t>
            </w:r>
          </w:p>
          <w:p w14:paraId="0E1D108D" w14:textId="77777777" w:rsidR="00943AE9" w:rsidRDefault="00943AE9" w:rsidP="00943AE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 xml:space="preserve">    3.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执行差额数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预算执行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预算批复（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19=7-1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）；</w:t>
            </w:r>
          </w:p>
          <w:p w14:paraId="0C10B137" w14:textId="77777777" w:rsidR="00943AE9" w:rsidRDefault="00943AE9" w:rsidP="00943AE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 xml:space="preserve">    4.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本年支出小计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:8=9+11+13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；预算执行合计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:7=8+15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；项目本年支出进度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:18=8/1*100%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776B4319" w14:textId="77777777" w:rsidR="00943AE9" w:rsidRDefault="00943AE9" w:rsidP="00943AE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 xml:space="preserve">    5.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资金超支率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:21=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7-1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>/1*100%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68FA1828" w14:textId="77777777" w:rsidR="00943AE9" w:rsidRDefault="00943AE9" w:rsidP="00943AE9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cs="宋体"/>
                <w:color w:val="000000"/>
                <w:kern w:val="0"/>
                <w:sz w:val="20"/>
                <w:szCs w:val="20"/>
              </w:rPr>
              <w:t xml:space="preserve">    6.</w:t>
            </w:r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表中数据以单位实际</w:t>
            </w:r>
            <w:proofErr w:type="gramStart"/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帐面</w:t>
            </w:r>
            <w:proofErr w:type="gramEnd"/>
            <w:r>
              <w:rPr>
                <w:rFonts w:ascii="宋体" w:hAnsi="Calibri" w:cs="宋体" w:hint="eastAsia"/>
                <w:color w:val="000000"/>
                <w:kern w:val="0"/>
                <w:sz w:val="20"/>
                <w:szCs w:val="20"/>
              </w:rPr>
              <w:t>数据为准，保留小数点后两位数字。</w:t>
            </w:r>
          </w:p>
        </w:tc>
      </w:tr>
    </w:tbl>
    <w:p w14:paraId="2983800F" w14:textId="77777777" w:rsidR="00ED0080" w:rsidRDefault="00943AE9">
      <w:pPr>
        <w:ind w:firstLineChars="200" w:firstLine="640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>
        <w:rPr>
          <w:rFonts w:ascii="仿宋_GB2312" w:eastAsia="仿宋_GB2312" w:hAnsi="黑体" w:hint="eastAsia"/>
          <w:sz w:val="28"/>
          <w:szCs w:val="28"/>
        </w:rPr>
        <w:t>二）</w:t>
      </w:r>
      <w:r>
        <w:rPr>
          <w:rFonts w:ascii="仿宋_GB2312" w:eastAsia="仿宋_GB2312" w:hAnsi="黑体" w:hint="eastAsia"/>
          <w:sz w:val="28"/>
          <w:szCs w:val="28"/>
        </w:rPr>
        <w:t>项目支出指标体系及评分情况表</w:t>
      </w:r>
    </w:p>
    <w:p w14:paraId="34D475A0" w14:textId="77777777" w:rsidR="00ED0080" w:rsidRDefault="00943AE9">
      <w:pPr>
        <w:spacing w:after="240"/>
        <w:jc w:val="center"/>
        <w:rPr>
          <w:rFonts w:ascii="宋体" w:hAnsi="宋体" w:cs="宋体"/>
          <w:b/>
          <w:bCs/>
          <w:color w:val="000000"/>
          <w:kern w:val="0"/>
          <w:sz w:val="42"/>
          <w:szCs w:val="42"/>
        </w:rPr>
      </w:pPr>
      <w:bookmarkStart w:id="1" w:name="_Toc14438"/>
      <w:bookmarkStart w:id="2" w:name="_Toc11355"/>
      <w:bookmarkStart w:id="3" w:name="_Toc14370"/>
      <w:r>
        <w:rPr>
          <w:rFonts w:ascii="宋体" w:hAnsi="宋体" w:cs="宋体" w:hint="eastAsia"/>
          <w:b/>
          <w:bCs/>
          <w:color w:val="000000"/>
          <w:kern w:val="0"/>
          <w:sz w:val="42"/>
          <w:szCs w:val="42"/>
        </w:rPr>
        <w:t>项目支出指标体系及评分情况表</w:t>
      </w:r>
      <w:bookmarkEnd w:id="1"/>
      <w:bookmarkEnd w:id="2"/>
      <w:bookmarkEnd w:id="3"/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897"/>
        <w:gridCol w:w="891"/>
        <w:gridCol w:w="2129"/>
        <w:gridCol w:w="850"/>
        <w:gridCol w:w="845"/>
        <w:gridCol w:w="2438"/>
      </w:tblGrid>
      <w:tr w:rsidR="00ED0080" w14:paraId="0FEEEB84" w14:textId="77777777">
        <w:trPr>
          <w:trHeight w:val="4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B1D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606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988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679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F0C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6F3" w14:textId="77777777" w:rsidR="00ED0080" w:rsidRDefault="00943AE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评价</w:t>
            </w:r>
          </w:p>
          <w:p w14:paraId="38890F14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得分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432" w14:textId="77777777" w:rsidR="00ED0080" w:rsidRDefault="00943AE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意见</w:t>
            </w:r>
          </w:p>
        </w:tc>
      </w:tr>
      <w:tr w:rsidR="00ED0080" w14:paraId="2185B0D7" w14:textId="77777777">
        <w:trPr>
          <w:trHeight w:val="596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E96A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14:paraId="058065C6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决策</w:t>
            </w:r>
          </w:p>
          <w:p w14:paraId="29CCFD60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184D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</w:t>
            </w:r>
          </w:p>
          <w:p w14:paraId="68AE264D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  <w:p w14:paraId="7C003A20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DBE1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  <w:p w14:paraId="617A2320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5B0B" w14:textId="77777777" w:rsidR="00ED0080" w:rsidRDefault="00943A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目标的明确性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755C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2562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E12" w14:textId="77777777" w:rsidR="00ED0080" w:rsidRDefault="00943AE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项目目标设定比较明确</w:t>
            </w:r>
          </w:p>
        </w:tc>
      </w:tr>
      <w:tr w:rsidR="00ED0080" w14:paraId="5B7AD1C7" w14:textId="77777777">
        <w:trPr>
          <w:trHeight w:val="589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FBF4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EE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6A1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5452E" w14:textId="77777777" w:rsidR="00ED0080" w:rsidRDefault="00943AE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目标的合理性、细化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D59F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FB6B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CBA" w14:textId="77777777" w:rsidR="00ED0080" w:rsidRDefault="00943AE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目标设置比较合理，但指标衡量性不足，较为笼统</w:t>
            </w:r>
          </w:p>
        </w:tc>
      </w:tr>
      <w:tr w:rsidR="00ED0080" w14:paraId="6573E74A" w14:textId="77777777">
        <w:trPr>
          <w:trHeight w:val="689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A0B4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D1F6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决策</w:t>
            </w:r>
          </w:p>
          <w:p w14:paraId="443EA987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</w:t>
            </w:r>
          </w:p>
          <w:p w14:paraId="32FA6DBF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F9B9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决策</w:t>
            </w:r>
          </w:p>
          <w:p w14:paraId="59891708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6C2A" w14:textId="77777777" w:rsidR="00ED0080" w:rsidRDefault="00943AE9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项目与规划和计划的相关性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746E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C76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62A" w14:textId="77777777" w:rsidR="00ED0080" w:rsidRDefault="00943AE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项目与规划和计划，以及现实需求一致</w:t>
            </w:r>
          </w:p>
        </w:tc>
      </w:tr>
      <w:tr w:rsidR="00ED0080" w14:paraId="55DF03C5" w14:textId="77777777">
        <w:trPr>
          <w:trHeight w:val="803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0083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7A62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E71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1C5" w14:textId="77777777" w:rsidR="00ED0080" w:rsidRDefault="00943AE9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可行性研究充分性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31FB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E36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331" w14:textId="77777777" w:rsidR="00ED0080" w:rsidRDefault="00943AE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进行了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可行性分析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内容比较完整</w:t>
            </w:r>
          </w:p>
        </w:tc>
      </w:tr>
      <w:tr w:rsidR="00ED0080" w14:paraId="4C073AB5" w14:textId="77777777">
        <w:trPr>
          <w:trHeight w:val="263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5A7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86C0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9A0" w14:textId="77777777" w:rsidR="00ED0080" w:rsidRDefault="00ED0080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A99B" w14:textId="77777777" w:rsidR="00ED0080" w:rsidRDefault="00943AE9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项目的调整情况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7EA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639" w14:textId="77777777" w:rsidR="00ED0080" w:rsidRDefault="00943AE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6DC" w14:textId="77777777" w:rsidR="00ED0080" w:rsidRDefault="00943AE9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因疫情调整培训计划并调整资金</w:t>
            </w:r>
          </w:p>
        </w:tc>
      </w:tr>
      <w:tr w:rsidR="00ED0080" w14:paraId="76B5ED80" w14:textId="77777777">
        <w:trPr>
          <w:trHeight w:val="83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01DA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8B4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196E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决策</w:t>
            </w:r>
          </w:p>
          <w:p w14:paraId="7EB77B3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FD2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项目申报程序的规范性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6F6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F5E2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2C2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项目申报程序规范</w:t>
            </w:r>
          </w:p>
        </w:tc>
      </w:tr>
      <w:tr w:rsidR="00ED0080" w14:paraId="0DD767A2" w14:textId="77777777">
        <w:trPr>
          <w:trHeight w:val="534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F9C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41C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F0E3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61C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项目决策程序的规范性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B901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241F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B0C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项目决策过程规范</w:t>
            </w:r>
          </w:p>
        </w:tc>
      </w:tr>
      <w:tr w:rsidR="00ED0080" w14:paraId="5CA9060E" w14:textId="77777777">
        <w:trPr>
          <w:trHeight w:val="68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763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14:paraId="3583DA0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  <w:p w14:paraId="1E4FCF7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71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</w:t>
            </w:r>
          </w:p>
          <w:p w14:paraId="3E359434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</w:t>
            </w:r>
          </w:p>
          <w:p w14:paraId="28837039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2AC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预算</w:t>
            </w:r>
          </w:p>
          <w:p w14:paraId="075A33C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B388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预算编制情况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D44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0C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1F3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项目预算编制较为科学合理</w:t>
            </w:r>
          </w:p>
        </w:tc>
      </w:tr>
      <w:tr w:rsidR="00ED0080" w14:paraId="70CC9C82" w14:textId="77777777">
        <w:trPr>
          <w:trHeight w:val="70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DD0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F87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526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EB1A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预算执行情况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3EA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066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9D3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预算执行率高</w:t>
            </w:r>
          </w:p>
        </w:tc>
      </w:tr>
      <w:tr w:rsidR="00ED0080" w14:paraId="195A6AE6" w14:textId="77777777">
        <w:trPr>
          <w:trHeight w:val="689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6FA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97C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CD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</w:t>
            </w:r>
          </w:p>
          <w:p w14:paraId="6636594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6F62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资金到位的足额性、及时性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3F9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B56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50F4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资金足额、及时到位</w:t>
            </w:r>
          </w:p>
        </w:tc>
      </w:tr>
      <w:tr w:rsidR="00ED0080" w14:paraId="1CD71226" w14:textId="77777777">
        <w:trPr>
          <w:trHeight w:val="69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D41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D31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DD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  <w:p w14:paraId="6CAACD5D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055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财务制度的健全性及执行情况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E48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E4E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17C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制度健全、执行有效</w:t>
            </w:r>
          </w:p>
        </w:tc>
      </w:tr>
      <w:tr w:rsidR="00ED0080" w14:paraId="016AB1C2" w14:textId="77777777">
        <w:trPr>
          <w:trHeight w:val="546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5F4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352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64AD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10D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会计核算规范性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C9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894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08A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会计核算规范</w:t>
            </w:r>
          </w:p>
        </w:tc>
      </w:tr>
      <w:tr w:rsidR="00ED0080" w14:paraId="1766F52F" w14:textId="77777777">
        <w:trPr>
          <w:trHeight w:val="74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07DC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F7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14:paraId="797A662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</w:t>
            </w:r>
          </w:p>
          <w:p w14:paraId="67AE8870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49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</w:t>
            </w:r>
          </w:p>
          <w:p w14:paraId="194A01B6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DD2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机构健全性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ECD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FC54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B6C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组织机构较健全</w:t>
            </w:r>
          </w:p>
        </w:tc>
      </w:tr>
      <w:tr w:rsidR="00ED0080" w14:paraId="531027E3" w14:textId="77777777">
        <w:trPr>
          <w:trHeight w:val="70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C4CB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CD8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FEE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0F8D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职责分工明确性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4FA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1FE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EED5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分工较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明确</w:t>
            </w:r>
          </w:p>
        </w:tc>
      </w:tr>
      <w:tr w:rsidR="00ED0080" w14:paraId="2A186C5E" w14:textId="77777777">
        <w:trPr>
          <w:trHeight w:val="838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0662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C0E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F61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</w:t>
            </w:r>
          </w:p>
          <w:p w14:paraId="0D4F2238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9FD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项目管理制度的健全性及相关制度执行的有效性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8DD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AD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ACE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项目管理制度健全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，相关制度执行有效</w:t>
            </w:r>
          </w:p>
        </w:tc>
      </w:tr>
      <w:tr w:rsidR="00ED0080" w14:paraId="501D4437" w14:textId="77777777">
        <w:trPr>
          <w:trHeight w:val="574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939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9698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F241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</w:t>
            </w:r>
          </w:p>
          <w:p w14:paraId="49CB617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80A" w14:textId="77777777" w:rsidR="00ED0080" w:rsidRDefault="00943A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实施方案有效性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5A3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9C48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FE9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实施方案有效</w:t>
            </w:r>
          </w:p>
        </w:tc>
      </w:tr>
      <w:tr w:rsidR="00ED0080" w14:paraId="492D789A" w14:textId="77777777">
        <w:trPr>
          <w:trHeight w:val="54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484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79F5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9A12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E38" w14:textId="77777777" w:rsidR="00ED0080" w:rsidRDefault="00943A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日常监督检查情况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9F3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FA4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18B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管理过程较精细，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资料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归集较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完整</w:t>
            </w:r>
          </w:p>
        </w:tc>
      </w:tr>
      <w:tr w:rsidR="00ED0080" w14:paraId="49CD135F" w14:textId="77777777">
        <w:trPr>
          <w:trHeight w:val="681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43E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14:paraId="5CDC08B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</w:t>
            </w:r>
          </w:p>
          <w:p w14:paraId="0047D1A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378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14:paraId="53B62EE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</w:p>
          <w:p w14:paraId="0F323B9F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6053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</w:p>
          <w:p w14:paraId="6EA339F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5E8" w14:textId="77777777" w:rsidR="00ED0080" w:rsidRDefault="00943A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发稿量全年不低于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条，月发稿不低于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条，新媒体平台全年发稿量不少于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5B6B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32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6A8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ED0080" w14:paraId="36251F97" w14:textId="77777777">
        <w:trPr>
          <w:trHeight w:val="68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0345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D28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97E6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E61" w14:textId="77777777" w:rsidR="00ED0080" w:rsidRDefault="00943A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原创栏目包含的各类视频全年更新不少于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部，按照年度专项宣传要点，在合同期内组织编排制作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微电影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部，微视频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部、微动漫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部、语言类短视频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FB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261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9D52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ED0080" w14:paraId="4CE87D01" w14:textId="77777777">
        <w:trPr>
          <w:trHeight w:val="68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C4AA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B4F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5F78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2EF" w14:textId="77777777" w:rsidR="00ED0080" w:rsidRDefault="00943A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开展政法平安信息监测，在政法委规定时间报告监测情况，如遇紧急平安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信息第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一时间报送。全年报送网络舆情日报不少于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0856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91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CFE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ED0080" w14:paraId="31041E77" w14:textId="77777777">
        <w:trPr>
          <w:trHeight w:val="74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C50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096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204D2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</w:p>
          <w:p w14:paraId="5D8FCD52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A53E" w14:textId="77777777" w:rsidR="00ED0080" w:rsidRDefault="00943A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发稿质量根据长安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网考核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标准执行，各月考核不低于前五，年终考核保三争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2F4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F5CA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9EF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ED0080" w14:paraId="4EA8A171" w14:textId="77777777">
        <w:trPr>
          <w:trHeight w:val="74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081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4D19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7A6AD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896" w14:textId="77777777" w:rsidR="00ED0080" w:rsidRDefault="00943A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视频制作质量按照不同种类视频行业标准执行，根据合同要求，保证年内有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达到三微评选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标准的视频节目完成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EE2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D61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DA9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ED0080" w14:paraId="5C03C0D7" w14:textId="77777777">
        <w:trPr>
          <w:trHeight w:val="65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CF9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CAC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F83" w14:textId="77777777" w:rsidR="00ED0080" w:rsidRDefault="00ED0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3F0" w14:textId="77777777" w:rsidR="00ED0080" w:rsidRDefault="00943A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舆情报送及时，达到市政法委领导要求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65BD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E8D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75C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ED0080" w14:paraId="03347200" w14:textId="77777777">
        <w:trPr>
          <w:trHeight w:val="699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F204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4B3B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1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</w:p>
          <w:p w14:paraId="5B6F7C2F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511" w14:textId="77777777" w:rsidR="00ED0080" w:rsidRDefault="00943A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完成项目的时间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4FE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B31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06B8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项目按计划全年度运行维护建设，周期贯穿全年</w:t>
            </w:r>
          </w:p>
        </w:tc>
      </w:tr>
      <w:tr w:rsidR="00ED0080" w14:paraId="2BB4DD9E" w14:textId="77777777">
        <w:trPr>
          <w:trHeight w:val="69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379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8A7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1EC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</w:p>
          <w:p w14:paraId="722CA780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F41" w14:textId="77777777" w:rsidR="00ED0080" w:rsidRDefault="00943A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产出成本控制水平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EDDD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1B89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878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成本控制良好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D0080" w14:paraId="648DE2C2" w14:textId="77777777">
        <w:trPr>
          <w:trHeight w:val="833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D110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2469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14:paraId="4014A291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</w:t>
            </w:r>
          </w:p>
          <w:p w14:paraId="72AD670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C90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</w:p>
          <w:p w14:paraId="5F926999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FA6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网站访问量继续上升，成为全国一流的政法类宣传网站，实现在全国省级政法类网站排名中“保三争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62CF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7F2F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FBB3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指标设置不合理，与社会效益关联不大</w:t>
            </w:r>
          </w:p>
        </w:tc>
      </w:tr>
      <w:tr w:rsidR="00ED0080" w14:paraId="65C912D7" w14:textId="77777777">
        <w:trPr>
          <w:trHeight w:val="955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96C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220" w14:textId="77777777" w:rsidR="00ED0080" w:rsidRDefault="00ED0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997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</w:p>
          <w:p w14:paraId="682886E3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对象</w:t>
            </w:r>
          </w:p>
          <w:p w14:paraId="75CB94FE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CF02" w14:textId="77777777" w:rsidR="00ED0080" w:rsidRDefault="00943A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网站访问满意度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795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062" w14:textId="77777777" w:rsidR="00ED0080" w:rsidRDefault="00943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6F7" w14:textId="77777777" w:rsidR="00ED0080" w:rsidRDefault="00943A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达到预期网站访问满意度</w:t>
            </w:r>
          </w:p>
        </w:tc>
      </w:tr>
      <w:tr w:rsidR="00ED0080" w14:paraId="1E4B8DE2" w14:textId="77777777">
        <w:trPr>
          <w:trHeight w:val="807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C63" w14:textId="77777777" w:rsidR="00ED0080" w:rsidRDefault="00943A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0C96" w14:textId="77777777" w:rsidR="00ED0080" w:rsidRDefault="00943A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C29C" w14:textId="77777777" w:rsidR="00ED0080" w:rsidRDefault="00943A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7.6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F13" w14:textId="77777777" w:rsidR="00ED0080" w:rsidRDefault="00943A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——</w:t>
            </w:r>
          </w:p>
        </w:tc>
      </w:tr>
    </w:tbl>
    <w:p w14:paraId="538ED07F" w14:textId="77777777" w:rsidR="00ED0080" w:rsidRDefault="00ED0080"/>
    <w:sectPr w:rsidR="00ED0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080"/>
    <w:rsid w:val="00943AE9"/>
    <w:rsid w:val="00ED0080"/>
    <w:rsid w:val="35B60324"/>
    <w:rsid w:val="4E5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78C70"/>
  <w15:docId w15:val="{D8E3CBFA-E048-4DA6-8B73-657E7563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zfjhcwc@163.com</cp:lastModifiedBy>
  <cp:revision>2</cp:revision>
  <dcterms:created xsi:type="dcterms:W3CDTF">2021-08-26T00:53:00Z</dcterms:created>
  <dcterms:modified xsi:type="dcterms:W3CDTF">2021-08-26T01:11:00Z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