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80"/>
          <w:kern w:val="44"/>
          <w:sz w:val="44"/>
          <w:szCs w:val="44"/>
          <w:highlight w:val="none"/>
        </w:rPr>
      </w:pPr>
      <w:r>
        <w:rPr>
          <w:rFonts w:hint="eastAsia" w:ascii="方正小标宋简体" w:hAnsi="方正小标宋简体" w:eastAsia="方正小标宋简体" w:cs="方正小标宋简体"/>
          <w:b w:val="0"/>
          <w:bCs w:val="0"/>
          <w:spacing w:val="80"/>
          <w:kern w:val="44"/>
          <w:sz w:val="44"/>
          <w:szCs w:val="44"/>
          <w:highlight w:val="none"/>
        </w:rPr>
        <w:t>北京政法职业学院</w:t>
      </w:r>
    </w:p>
    <w:p>
      <w:pPr>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80"/>
          <w:kern w:val="44"/>
          <w:sz w:val="44"/>
          <w:szCs w:val="44"/>
          <w:highlight w:val="none"/>
        </w:rPr>
      </w:pPr>
      <w:r>
        <w:rPr>
          <w:rFonts w:hint="eastAsia" w:ascii="方正小标宋简体" w:hAnsi="方正小标宋简体" w:eastAsia="方正小标宋简体" w:cs="方正小标宋简体"/>
          <w:b w:val="0"/>
          <w:bCs w:val="0"/>
          <w:spacing w:val="80"/>
          <w:kern w:val="44"/>
          <w:sz w:val="44"/>
          <w:szCs w:val="44"/>
          <w:highlight w:val="none"/>
        </w:rPr>
        <w:t>部门整体绩效评价报告</w:t>
      </w:r>
    </w:p>
    <w:p>
      <w:pPr>
        <w:pageBreakBefore w:val="0"/>
        <w:kinsoku/>
        <w:wordWrap/>
        <w:overflowPunct/>
        <w:topLinePunct w:val="0"/>
        <w:autoSpaceDE/>
        <w:autoSpaceDN/>
        <w:bidi w:val="0"/>
        <w:adjustRightInd w:val="0"/>
        <w:snapToGrid w:val="0"/>
        <w:spacing w:line="560" w:lineRule="exact"/>
        <w:jc w:val="right"/>
        <w:textAlignment w:val="auto"/>
        <w:rPr>
          <w:rFonts w:ascii="宋体" w:hAnsi="宋体" w:cs="Arial"/>
          <w:b/>
          <w:szCs w:val="21"/>
          <w:highlight w:val="none"/>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bookmarkStart w:id="0" w:name="_Toc103014811"/>
      <w:r>
        <w:rPr>
          <w:rFonts w:hint="eastAsia" w:ascii="黑体" w:hAnsi="黑体" w:eastAsia="黑体" w:cs="黑体"/>
          <w:b w:val="0"/>
          <w:bCs w:val="0"/>
          <w:color w:val="000000"/>
          <w:kern w:val="0"/>
          <w:sz w:val="32"/>
          <w:szCs w:val="32"/>
          <w:highlight w:val="none"/>
        </w:rPr>
        <w:t>一、部门概况</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（一）机构设置及职责工作任务情况</w:t>
      </w:r>
    </w:p>
    <w:p>
      <w:pPr>
        <w:pStyle w:val="4"/>
        <w:pageBreakBefore w:val="0"/>
        <w:kinsoku/>
        <w:wordWrap/>
        <w:overflowPunct/>
        <w:topLinePunct w:val="0"/>
        <w:autoSpaceDE/>
        <w:autoSpaceDN/>
        <w:bidi w:val="0"/>
        <w:spacing w:line="560" w:lineRule="exact"/>
        <w:ind w:firstLine="56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北京政法职业学院为公益二类事业单位，主要职责为开展高等职业教育，举办成人高等学历教育、中等职业教育、职业培训及政法干部教育培训等。</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部门机构设置：北京政法职业学院设置25个部门，分别是：党政办公室；组织部、统战部、党校、巡察办公室合署；宣传部；学生工作部（学生处）、武装部合署；保卫部（保卫处）；人事处（党委教师工作部）；教务处；财务处；审计处；资产管理处（加挂基建办公室牌子）；工会、机关党总支合署；团委；党校工作部；纪检监察办公室（加挂监督检查室、审查调查室牌子）；应用法律学院；现代管理学院；安防科技学院；信息媒体学院；基础学院；马克思主义学院；科研发展中心；图书馆；综合服务中心；继续教育中心；北京政法网运管中心。</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（二）部门整体绩效目标设立情况</w:t>
      </w:r>
    </w:p>
    <w:p>
      <w:pPr>
        <w:pStyle w:val="4"/>
        <w:pageBreakBefore w:val="0"/>
        <w:kinsoku/>
        <w:wordWrap/>
        <w:overflowPunct/>
        <w:topLinePunct w:val="0"/>
        <w:autoSpaceDE/>
        <w:autoSpaceDN/>
        <w:bidi w:val="0"/>
        <w:spacing w:line="560" w:lineRule="exact"/>
        <w:ind w:firstLine="56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1.目标设定依据充分。部门整体绩效目标设定依据党中央、国务院、北京市委市政府和市教委的决策部署，符合党的教育方针，按照市财政局年度预算管理要求完成事前绩效评估等预算申报工作。</w:t>
      </w:r>
    </w:p>
    <w:p>
      <w:pPr>
        <w:pStyle w:val="4"/>
        <w:pageBreakBefore w:val="0"/>
        <w:kinsoku/>
        <w:wordWrap/>
        <w:overflowPunct/>
        <w:topLinePunct w:val="0"/>
        <w:autoSpaceDE/>
        <w:autoSpaceDN/>
        <w:bidi w:val="0"/>
        <w:spacing w:line="560" w:lineRule="exact"/>
        <w:ind w:firstLine="56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2.目标设定与职责任务匹配。部门整体绩效目标根据部门职责设定，从学院承担的为党育人、为国育才责任和当年工作内容出发，确定各项工作任务目标，保障部门职责全面履行。</w:t>
      </w:r>
    </w:p>
    <w:p>
      <w:pPr>
        <w:pStyle w:val="4"/>
        <w:pageBreakBefore w:val="0"/>
        <w:kinsoku/>
        <w:wordWrap/>
        <w:overflowPunct/>
        <w:topLinePunct w:val="0"/>
        <w:autoSpaceDE/>
        <w:autoSpaceDN/>
        <w:bidi w:val="0"/>
        <w:spacing w:line="560" w:lineRule="exact"/>
        <w:ind w:firstLine="56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3.目标设定合理可行。部门整体绩效目标设定依据客观实际，经过调查研究和科学论证，与预算额度相匹配，指标细化、量化、可考核、可评价，指导具体项目开展实施。</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二、当年预算执行情况</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2023年全年预算数29,081.</w:t>
      </w:r>
      <w:bookmarkStart w:id="2" w:name="_GoBack"/>
      <w:bookmarkEnd w:id="2"/>
      <w:r>
        <w:rPr>
          <w:rFonts w:hint="eastAsia" w:ascii="仿宋_GB2312" w:hAnsi="仿宋_GB2312" w:eastAsia="仿宋_GB2312" w:cs="仿宋_GB2312"/>
          <w:color w:val="000000"/>
          <w:kern w:val="0"/>
          <w:sz w:val="32"/>
          <w:szCs w:val="32"/>
          <w:highlight w:val="none"/>
        </w:rPr>
        <w:t>19万元，其中</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基本支出预算</w:t>
      </w:r>
      <w:r>
        <w:rPr>
          <w:rFonts w:hint="eastAsia" w:ascii="仿宋_GB2312" w:hAnsi="仿宋_GB2312" w:eastAsia="仿宋_GB2312" w:cs="仿宋_GB2312"/>
          <w:color w:val="000000"/>
          <w:kern w:val="0"/>
          <w:sz w:val="32"/>
          <w:szCs w:val="32"/>
          <w:highlight w:val="none"/>
        </w:rPr>
        <w:t>数23,989.</w:t>
      </w:r>
      <w:r>
        <w:rPr>
          <w:rFonts w:hint="eastAsia" w:ascii="仿宋_GB2312" w:hAnsi="仿宋_GB2312" w:eastAsia="仿宋_GB2312" w:cs="仿宋_GB2312"/>
          <w:color w:val="000000"/>
          <w:kern w:val="0"/>
          <w:sz w:val="32"/>
          <w:szCs w:val="32"/>
          <w:highlight w:val="none"/>
          <w:lang w:val="en-US" w:eastAsia="zh-CN"/>
        </w:rPr>
        <w:t>63</w:t>
      </w:r>
      <w:r>
        <w:rPr>
          <w:rFonts w:hint="eastAsia" w:ascii="仿宋_GB2312" w:hAnsi="仿宋_GB2312" w:eastAsia="仿宋_GB2312" w:cs="仿宋_GB2312"/>
          <w:color w:val="000000"/>
          <w:kern w:val="0"/>
          <w:sz w:val="32"/>
          <w:szCs w:val="32"/>
          <w:highlight w:val="none"/>
        </w:rPr>
        <w:t>万元，项目支出预算数4,933.3</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万元，其他支出</w:t>
      </w:r>
      <w:r>
        <w:rPr>
          <w:rFonts w:hint="eastAsia" w:ascii="仿宋_GB2312" w:hAnsi="仿宋_GB2312" w:eastAsia="仿宋_GB2312" w:cs="仿宋_GB2312"/>
          <w:color w:val="000000"/>
          <w:kern w:val="0"/>
          <w:sz w:val="32"/>
          <w:szCs w:val="32"/>
          <w:highlight w:val="none"/>
        </w:rPr>
        <w:t>预算数158.23万元。资金总体支出</w:t>
      </w:r>
      <w:r>
        <w:rPr>
          <w:rFonts w:hint="eastAsia" w:ascii="仿宋_GB2312" w:hAnsi="仿宋_GB2312" w:eastAsia="仿宋_GB2312" w:cs="仿宋_GB2312"/>
          <w:kern w:val="0"/>
          <w:sz w:val="32"/>
          <w:szCs w:val="32"/>
          <w:highlight w:val="none"/>
        </w:rPr>
        <w:t>27,023.42</w:t>
      </w:r>
      <w:r>
        <w:rPr>
          <w:rFonts w:hint="eastAsia" w:ascii="仿宋_GB2312" w:hAnsi="仿宋_GB2312" w:eastAsia="仿宋_GB2312" w:cs="仿宋_GB2312"/>
          <w:color w:val="000000"/>
          <w:kern w:val="0"/>
          <w:sz w:val="32"/>
          <w:szCs w:val="32"/>
          <w:highlight w:val="none"/>
        </w:rPr>
        <w:t>万元，其中</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基本支出</w:t>
      </w:r>
      <w:r>
        <w:rPr>
          <w:rFonts w:hint="eastAsia" w:ascii="仿宋_GB2312" w:hAnsi="仿宋_GB2312" w:eastAsia="仿宋_GB2312" w:cs="仿宋_GB2312"/>
          <w:kern w:val="0"/>
          <w:sz w:val="32"/>
          <w:szCs w:val="32"/>
          <w:highlight w:val="none"/>
        </w:rPr>
        <w:t>21,965.15</w:t>
      </w:r>
      <w:r>
        <w:rPr>
          <w:rFonts w:hint="eastAsia" w:ascii="仿宋_GB2312" w:hAnsi="仿宋_GB2312" w:eastAsia="仿宋_GB2312" w:cs="仿宋_GB2312"/>
          <w:color w:val="000000"/>
          <w:kern w:val="0"/>
          <w:sz w:val="32"/>
          <w:szCs w:val="32"/>
          <w:highlight w:val="none"/>
        </w:rPr>
        <w:t>万元，项目支出</w:t>
      </w:r>
      <w:r>
        <w:rPr>
          <w:rFonts w:hint="eastAsia" w:ascii="仿宋_GB2312" w:hAnsi="仿宋_GB2312" w:eastAsia="仿宋_GB2312" w:cs="仿宋_GB2312"/>
          <w:kern w:val="0"/>
          <w:sz w:val="32"/>
          <w:szCs w:val="32"/>
          <w:highlight w:val="none"/>
        </w:rPr>
        <w:t>4,900.0</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万元，其他支出158.23万元。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三、整体绩效目标实现情况</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（一）产出完成情况分析</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1.产出数量</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（1）促进科研与教学协调发展</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数字法治背景下法律实务类专业虚拟仿真应用机制研究”课题，获北京市教育委员会2023年度北京市数字教育研究课题立项；“首都红色文化资源融入大学生思想政治理论课教育的路径研究”等两个课题，获北京市思想政治工作研究会2023年课题立项；“智慧司法专业群建设实践研究”等四个课题，获北京市职业技术教育学会“十四五”规划2023-2024年教育科学研究课题立项。</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（2）对接企业需求促进招生就业</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学院2023年招生计划1490人，录取1539人，报到1480人，计划完成率99%；学院</w:t>
      </w:r>
      <w:r>
        <w:rPr>
          <w:rFonts w:hint="eastAsia" w:ascii="仿宋_GB2312" w:hAnsi="仿宋_GB2312" w:eastAsia="仿宋_GB2312" w:cs="仿宋_GB2312"/>
          <w:color w:val="000000"/>
          <w:kern w:val="0"/>
          <w:sz w:val="32"/>
          <w:szCs w:val="32"/>
          <w:highlight w:val="none"/>
          <w:lang w:val="en-US" w:eastAsia="zh-CN"/>
        </w:rPr>
        <w:t>领导</w:t>
      </w:r>
      <w:r>
        <w:rPr>
          <w:rFonts w:hint="eastAsia" w:ascii="仿宋_GB2312" w:hAnsi="仿宋_GB2312" w:eastAsia="仿宋_GB2312" w:cs="仿宋_GB2312"/>
          <w:color w:val="000000"/>
          <w:kern w:val="0"/>
          <w:sz w:val="32"/>
          <w:szCs w:val="32"/>
          <w:highlight w:val="none"/>
        </w:rPr>
        <w:t>带队走访企业167家，深入开展访企拓岗促就业专项行动；举办线下校园双选会、联合招聘会、线上校园双选会，共计邀请346家用人单位，毕业生总体就业率98%。</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2.产出质量</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（1）持续推进教育教学改革</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首次获得全国安防行业技能竞赛（国家二类职业技能大赛）学生组一等奖；《奉献的人生最有价值》荣获第六届全国高校大学生讲思政课公开课展示活动高职组优秀奖；图书馆团队提交的“新书选报微信小程序的开发与应用”案例，荣获2023年全国高职院校图书馆馆长论坛案例与论文征集活动一等奖；4名教师分别获得北京市“教书育人先锋”“首都民族团结进步先进个人”荣誉称号和北京高校青教赛（文科类）（工科类）Ｂ组一、二等奖；《安全保卫管理专业教学资源库》等4个资源库项目申报“现代职业教育体系建设改革重点任务”并通过教育部审核；《1+X大数据平台运维》等5门课程入选2023年北京市职业教育在线精品课程项目；《思想道德与法治》课程成功入选市级精品线上课程项目；“安全保卫专业群”以“优秀”等次通过北京市第一批特色高水平骨干专业群建设项目验收，“智慧司法专业群”完成中期验收工作；“智慧司法”虚拟仿真实训基地通过教育部审核。</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（2）不断提高服务政法能力</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北京政法网获2023年度中国最具影响力政法网站奖；北京政法（新媒体矩阵）获2023年度中国最具影响力政法新媒体奖；“您是我的光，我像您的影子——记北京公安英烈子女崔申迪”获评网络正能量文字。结合中国长安网要求，紧密围绕中央、市委、市委政法委中心工作，设置“学习宣传贯彻党的二十大精神”“贯彻落实习近平法治思想”“宣传学习贯彻习近平新时代中国特色社会主义思想主题教育”等多个主题，宣传全市各级政法单位开展工作情况，发挥了政务官微信息发布、服务群众的作用。</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3.产出进度</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各项工作完成及时性较好。根据市委市政府、市委政法委和市教委工作安排、《北京政法职业学院“十四五”时期发展规划（2021—2025年）》、学院2023年工作计划，各项工作均制定了实施方案，明确了时间进度安排与人员分工。在推进过程中，各项工作按照实施方案执行，为顺利完成绩效目标奠定了基础，保障了在规定时间完成年度各项工作任务。</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4.产出成本</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学院成本控制情况较好。基本经费、项目经费及其他经费支出均控制在预算范围内，未出现无预算或超预算支出情况。</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（二）效果实现情况分析</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1.社会效益</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（1）落实党的教育方针，培养社会主义建设者和接班人</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bookmarkStart w:id="1" w:name="_Hlk136024637"/>
      <w:r>
        <w:rPr>
          <w:rFonts w:hint="eastAsia" w:ascii="仿宋_GB2312" w:hAnsi="仿宋_GB2312" w:eastAsia="仿宋_GB2312" w:cs="仿宋_GB2312"/>
          <w:color w:val="000000"/>
          <w:kern w:val="0"/>
          <w:sz w:val="32"/>
          <w:szCs w:val="32"/>
          <w:highlight w:val="none"/>
        </w:rPr>
        <w:t>以习近平新时代中国特色社会主义思想为指导</w:t>
      </w:r>
      <w:bookmarkEnd w:id="1"/>
      <w:r>
        <w:rPr>
          <w:rFonts w:hint="eastAsia" w:ascii="仿宋_GB2312" w:hAnsi="仿宋_GB2312" w:eastAsia="仿宋_GB2312" w:cs="仿宋_GB2312"/>
          <w:color w:val="000000"/>
          <w:kern w:val="0"/>
          <w:sz w:val="32"/>
          <w:szCs w:val="32"/>
          <w:highlight w:val="none"/>
        </w:rPr>
        <w:t>，在办学定位、办学特色中体现党的教育方针政策。推进“11334”大学生思想政治教育工作模式，探索“思政小课堂”与“社会大课堂”有机衔接，推进“第二课堂成绩单”制度落地，构建德智体美劳全面培养的教育体系和思想政治工作体系，坚持为党育人，为国育才。</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2.可持续性影响</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（1）开展政法委及相关业务单位的培训等业务</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服务政法队伍建设，承办政法系统各类培训班次13个。承办</w:t>
      </w:r>
      <w:r>
        <w:rPr>
          <w:rFonts w:hint="eastAsia" w:ascii="仿宋_GB2312" w:hAnsi="仿宋_GB2312" w:eastAsia="仿宋_GB2312" w:cs="仿宋_GB2312"/>
          <w:color w:val="000000"/>
          <w:kern w:val="0"/>
          <w:sz w:val="32"/>
          <w:szCs w:val="32"/>
          <w:highlight w:val="none"/>
          <w:lang w:val="en-US" w:eastAsia="zh-CN"/>
        </w:rPr>
        <w:t>其他各类社会</w:t>
      </w:r>
      <w:r>
        <w:rPr>
          <w:rFonts w:hint="eastAsia" w:ascii="仿宋_GB2312" w:hAnsi="仿宋_GB2312" w:eastAsia="仿宋_GB2312" w:cs="仿宋_GB2312"/>
          <w:color w:val="000000"/>
          <w:kern w:val="0"/>
          <w:sz w:val="32"/>
          <w:szCs w:val="32"/>
          <w:highlight w:val="none"/>
        </w:rPr>
        <w:t>培训班23期，培训学员2700余人。</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（2）推动校企融合，强化高素质技术技能人才培养</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邀请40余家知名合作单位共同签署校企合作协议，聘任40余位职教专家进入专家库，校政企行职教联盟平台持续扩大，“四位一体”联动机制不断优化。成功申报2项市级职业教育现场工程师专项培养计划。组建大华股份产业学院。与大兴消防救援支队共建大兴应急救援人才培养基地。与北京安防协会、消防协会合作申报2个职业技能培训鉴定点。与大兴区委社会工委民政局签署校地合作协议。成功申报WPS办公应用1+X证书试点院校。打造产教融合共同体育人新模式—“鸿蒙系统综合项目就业实训营”，深化产教共同体实训、就业工作。</w:t>
      </w:r>
    </w:p>
    <w:p>
      <w:pPr>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3.服务对象满意度</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2023年，受理“12345市民服务热线”诉求，响应率及解决率为100%，满意率均为99.5%。用人单位对学院应届毕业生的总体满意度较高。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四、预算管理情况分析</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（一）财务管理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1.财务管理制度健全性</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制度体系健全、完整、合规。学院建立了包括预算、现金、“三公”经费、公务卡、差旅、培训、项目及配套资金使用管理及财务报销、采购、资产管理等方面的内控制度体系，各项制度健全、规范。同时不断完善学院财务管理制度建设，强化财务管理各环节的监督与制约机制的有效运行，财务管理制度体系建设完整、合规。会计核算严格按照国家统一的会计制度，设置会计账簿，规范进行会计核算和账务处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2.资金使用合规性和安全性</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资金使用合规、安全。学院能够依法依规使用资金，严格按照国家财经法规、财务管理制度以及相关专项资金管理办法等规定使用资金。大额资金支出经过集体决策，资金拨付有完整的审批程序和手续。严格按照预算批复用途使用资金，规范使用公务卡结算，政府采购应采尽采，不存在截留、挤占、挪用、虚列支出。</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3.会计基础信息完善性</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会计基础信息真实、完整、准确。学院严格依据实际发生的事项进行会计核算，基础数据及资料来源真实，反映的会计信息完整。同时规范使用会计科目，会计数据核算准确。会计资料及时收集整理、全面归档、妥善保管。</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（二）资产管理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学院严格执行日常办公设备和通用资产的配置标准，并制定《国有资产管理办法》规范学院资产在使用、出租出借、处置方面的行为。</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（三）绩效管理</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学院按照绩效管理要求，对绩效信息进行汇总、分析及整理。强化绩效管理信息的应用，对发现的问题和风险进行研判，及时纠偏。</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（四）结转结余率</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2023年底，学院结转结余资金2,057.77万元，结转结余率7.08%，主要</w:t>
      </w:r>
      <w:r>
        <w:rPr>
          <w:rFonts w:hint="eastAsia" w:ascii="仿宋_GB2312" w:hAnsi="仿宋_GB2312" w:eastAsia="仿宋_GB2312" w:cs="仿宋_GB2312"/>
          <w:color w:val="000000"/>
          <w:kern w:val="0"/>
          <w:sz w:val="32"/>
          <w:szCs w:val="32"/>
          <w:highlight w:val="none"/>
          <w:lang w:val="en-US" w:eastAsia="zh-CN"/>
        </w:rPr>
        <w:t>原</w:t>
      </w:r>
      <w:r>
        <w:rPr>
          <w:rFonts w:hint="eastAsia" w:ascii="仿宋_GB2312" w:hAnsi="仿宋_GB2312" w:eastAsia="仿宋_GB2312" w:cs="仿宋_GB2312"/>
          <w:color w:val="000000"/>
          <w:kern w:val="0"/>
          <w:sz w:val="32"/>
          <w:szCs w:val="32"/>
          <w:highlight w:val="none"/>
        </w:rPr>
        <w:t>因</w:t>
      </w:r>
      <w:r>
        <w:rPr>
          <w:rFonts w:hint="eastAsia" w:ascii="仿宋_GB2312" w:hAnsi="仿宋_GB2312" w:eastAsia="仿宋_GB2312" w:cs="仿宋_GB2312"/>
          <w:color w:val="000000"/>
          <w:kern w:val="0"/>
          <w:sz w:val="32"/>
          <w:szCs w:val="32"/>
          <w:highlight w:val="none"/>
          <w:lang w:val="en-US" w:eastAsia="zh-CN"/>
        </w:rPr>
        <w:t>是</w:t>
      </w:r>
      <w:r>
        <w:rPr>
          <w:rFonts w:hint="eastAsia" w:ascii="仿宋_GB2312" w:hAnsi="仿宋_GB2312" w:eastAsia="仿宋_GB2312" w:cs="仿宋_GB2312"/>
          <w:color w:val="000000"/>
          <w:kern w:val="0"/>
          <w:sz w:val="32"/>
          <w:szCs w:val="32"/>
          <w:highlight w:val="none"/>
        </w:rPr>
        <w:t>调整</w:t>
      </w:r>
      <w:r>
        <w:rPr>
          <w:rFonts w:hint="eastAsia" w:ascii="仿宋_GB2312" w:hAnsi="仿宋_GB2312" w:eastAsia="仿宋_GB2312" w:cs="仿宋_GB2312"/>
          <w:color w:val="000000"/>
          <w:kern w:val="0"/>
          <w:sz w:val="32"/>
          <w:szCs w:val="32"/>
          <w:highlight w:val="none"/>
          <w:lang w:val="en-US" w:eastAsia="zh-CN"/>
        </w:rPr>
        <w:t>了</w:t>
      </w:r>
      <w:r>
        <w:rPr>
          <w:rFonts w:hint="eastAsia" w:ascii="仿宋_GB2312" w:hAnsi="仿宋_GB2312" w:eastAsia="仿宋_GB2312" w:cs="仿宋_GB2312"/>
          <w:color w:val="000000"/>
          <w:kern w:val="0"/>
          <w:sz w:val="32"/>
          <w:szCs w:val="32"/>
          <w:highlight w:val="none"/>
          <w:lang w:eastAsia="zh-CN"/>
        </w:rPr>
        <w:t>结转结余核算</w:t>
      </w:r>
      <w:r>
        <w:rPr>
          <w:rFonts w:hint="eastAsia" w:ascii="仿宋_GB2312" w:hAnsi="仿宋_GB2312" w:eastAsia="仿宋_GB2312" w:cs="仿宋_GB2312"/>
          <w:color w:val="000000"/>
          <w:kern w:val="0"/>
          <w:sz w:val="32"/>
          <w:szCs w:val="32"/>
          <w:highlight w:val="none"/>
          <w:lang w:val="en-US" w:eastAsia="zh-CN"/>
        </w:rPr>
        <w:t>口径</w:t>
      </w:r>
      <w:r>
        <w:rPr>
          <w:rFonts w:hint="eastAsia" w:ascii="仿宋_GB2312" w:hAnsi="仿宋_GB2312" w:eastAsia="仿宋_GB2312" w:cs="仿宋_GB2312"/>
          <w:color w:val="000000"/>
          <w:kern w:val="0"/>
          <w:sz w:val="32"/>
          <w:szCs w:val="32"/>
          <w:highlight w:val="none"/>
        </w:rPr>
        <w:t>。</w:t>
      </w:r>
    </w:p>
    <w:p>
      <w:pPr>
        <w:pStyle w:val="3"/>
        <w:pageBreakBefore w:val="0"/>
        <w:kinsoku/>
        <w:wordWrap/>
        <w:overflowPunct/>
        <w:topLinePunct w:val="0"/>
        <w:autoSpaceDE/>
        <w:autoSpaceDN/>
        <w:bidi w:val="0"/>
        <w:spacing w:line="560" w:lineRule="exact"/>
        <w:ind w:left="42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（五）部门预决算差异率</w:t>
      </w:r>
    </w:p>
    <w:p>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2023年，学院年初预算批复数为23,439.60万元，决算数为29,081.19万元，差异5,641.59万元，差异率24.07%。主要</w:t>
      </w:r>
      <w:r>
        <w:rPr>
          <w:rFonts w:hint="eastAsia" w:ascii="仿宋_GB2312" w:hAnsi="仿宋_GB2312" w:eastAsia="仿宋_GB2312" w:cs="仿宋_GB2312"/>
          <w:color w:val="000000"/>
          <w:kern w:val="0"/>
          <w:sz w:val="32"/>
          <w:szCs w:val="32"/>
          <w:highlight w:val="none"/>
          <w:lang w:val="en-US" w:eastAsia="zh-CN"/>
        </w:rPr>
        <w:t>原因是年中</w:t>
      </w:r>
      <w:r>
        <w:rPr>
          <w:rFonts w:hint="eastAsia" w:ascii="仿宋_GB2312" w:hAnsi="仿宋_GB2312" w:eastAsia="仿宋_GB2312" w:cs="仿宋_GB2312"/>
          <w:color w:val="000000"/>
          <w:kern w:val="0"/>
          <w:sz w:val="32"/>
          <w:szCs w:val="32"/>
          <w:highlight w:val="none"/>
        </w:rPr>
        <w:t>增加</w:t>
      </w:r>
      <w:r>
        <w:rPr>
          <w:rFonts w:hint="eastAsia" w:ascii="仿宋_GB2312" w:hAnsi="仿宋_GB2312" w:eastAsia="仿宋_GB2312" w:cs="仿宋_GB2312"/>
          <w:color w:val="000000"/>
          <w:kern w:val="0"/>
          <w:sz w:val="32"/>
          <w:szCs w:val="32"/>
          <w:highlight w:val="none"/>
          <w:lang w:val="en-US" w:eastAsia="zh-CN"/>
        </w:rPr>
        <w:t>了</w:t>
      </w:r>
      <w:r>
        <w:rPr>
          <w:rFonts w:hint="eastAsia" w:ascii="仿宋_GB2312" w:hAnsi="仿宋_GB2312" w:eastAsia="仿宋_GB2312" w:cs="仿宋_GB2312"/>
          <w:color w:val="000000"/>
          <w:kern w:val="0"/>
          <w:sz w:val="32"/>
          <w:szCs w:val="32"/>
          <w:highlight w:val="none"/>
        </w:rPr>
        <w:t>重点项目。</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五、总体评价结论</w:t>
      </w:r>
    </w:p>
    <w:p>
      <w:pPr>
        <w:pageBreakBefore w:val="0"/>
        <w:kinsoku/>
        <w:wordWrap/>
        <w:overflowPunct/>
        <w:topLinePunct w:val="0"/>
        <w:autoSpaceDE/>
        <w:autoSpaceDN/>
        <w:bidi w:val="0"/>
        <w:spacing w:line="560" w:lineRule="exact"/>
        <w:ind w:firstLine="640" w:firstLineChars="200"/>
        <w:textAlignment w:val="auto"/>
        <w:rPr>
          <w:rFonts w:ascii="宋体" w:hAnsi="宋体" w:cs="仿宋_GB2312"/>
          <w:sz w:val="28"/>
          <w:szCs w:val="28"/>
          <w:highlight w:val="none"/>
        </w:rPr>
      </w:pPr>
      <w:r>
        <w:rPr>
          <w:rFonts w:hint="eastAsia" w:ascii="仿宋_GB2312" w:hAnsi="仿宋_GB2312" w:eastAsia="仿宋_GB2312" w:cs="仿宋_GB2312"/>
          <w:sz w:val="32"/>
          <w:szCs w:val="32"/>
          <w:highlight w:val="none"/>
        </w:rPr>
        <w:t>经过全面、系统和客观的分析，学院2023年部门整体绩效评价得分为87.43分，综合评价等级为“</w:t>
      </w:r>
      <w:r>
        <w:rPr>
          <w:rFonts w:hint="eastAsia" w:ascii="仿宋_GB2312" w:hAnsi="仿宋_GB2312" w:eastAsia="仿宋_GB2312" w:cs="仿宋_GB2312"/>
          <w:b/>
          <w:bCs/>
          <w:sz w:val="32"/>
          <w:szCs w:val="32"/>
          <w:highlight w:val="none"/>
        </w:rPr>
        <w:t>良好</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spacing w:line="560" w:lineRule="exact"/>
        <w:jc w:val="center"/>
        <w:textAlignment w:val="auto"/>
        <w:rPr>
          <w:rFonts w:ascii="宋体" w:hAnsi="宋体"/>
          <w:b/>
          <w:kern w:val="0"/>
          <w:sz w:val="28"/>
          <w:szCs w:val="28"/>
          <w:highlight w:val="none"/>
        </w:rPr>
      </w:pPr>
      <w:r>
        <w:rPr>
          <w:rFonts w:hint="eastAsia" w:ascii="宋体" w:hAnsi="宋体"/>
          <w:b/>
          <w:kern w:val="0"/>
          <w:sz w:val="28"/>
          <w:szCs w:val="28"/>
          <w:highlight w:val="none"/>
        </w:rPr>
        <w:t>部门整体绩效评价结论一览表</w:t>
      </w:r>
    </w:p>
    <w:tbl>
      <w:tblPr>
        <w:tblStyle w:val="13"/>
        <w:tblW w:w="8729" w:type="dxa"/>
        <w:jc w:val="center"/>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Layout w:type="fixed"/>
        <w:tblCellMar>
          <w:top w:w="0" w:type="dxa"/>
          <w:left w:w="57" w:type="dxa"/>
          <w:bottom w:w="0" w:type="dxa"/>
          <w:right w:w="57" w:type="dxa"/>
        </w:tblCellMar>
      </w:tblPr>
      <w:tblGrid>
        <w:gridCol w:w="2909"/>
        <w:gridCol w:w="2910"/>
        <w:gridCol w:w="2910"/>
      </w:tblGrid>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firstLine="562"/>
              <w:textAlignment w:val="auto"/>
              <w:rPr>
                <w:rFonts w:ascii="宋体" w:hAnsi="宋体"/>
                <w:bCs/>
                <w:kern w:val="0"/>
                <w:sz w:val="28"/>
                <w:szCs w:val="28"/>
                <w:highlight w:val="none"/>
              </w:rPr>
            </w:pPr>
            <w:r>
              <w:rPr>
                <w:rFonts w:hint="eastAsia" w:ascii="宋体" w:hAnsi="宋体"/>
                <w:bCs/>
                <w:kern w:val="0"/>
                <w:sz w:val="28"/>
                <w:szCs w:val="28"/>
                <w:highlight w:val="none"/>
              </w:rPr>
              <w:t>评价内容</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jc w:val="center"/>
              <w:textAlignment w:val="auto"/>
              <w:rPr>
                <w:rFonts w:ascii="宋体" w:hAnsi="宋体"/>
                <w:bCs/>
                <w:sz w:val="28"/>
                <w:szCs w:val="28"/>
                <w:highlight w:val="none"/>
              </w:rPr>
            </w:pPr>
            <w:r>
              <w:rPr>
                <w:rFonts w:hint="eastAsia" w:ascii="宋体" w:hAnsi="宋体"/>
                <w:bCs/>
                <w:sz w:val="28"/>
                <w:szCs w:val="28"/>
                <w:highlight w:val="none"/>
              </w:rPr>
              <w:t>分值</w:t>
            </w:r>
          </w:p>
        </w:tc>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评价得分</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left"/>
              <w:textAlignment w:val="auto"/>
              <w:rPr>
                <w:rFonts w:ascii="宋体" w:hAnsi="宋体"/>
                <w:bCs/>
                <w:kern w:val="0"/>
                <w:sz w:val="28"/>
                <w:szCs w:val="28"/>
                <w:highlight w:val="none"/>
              </w:rPr>
            </w:pPr>
            <w:r>
              <w:rPr>
                <w:rFonts w:hint="eastAsia" w:ascii="宋体" w:hAnsi="宋体"/>
                <w:bCs/>
                <w:kern w:val="0"/>
                <w:sz w:val="28"/>
                <w:szCs w:val="28"/>
                <w:highlight w:val="none"/>
              </w:rPr>
              <w:t>当年预算执行情况</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20.00</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18.58</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left"/>
              <w:textAlignment w:val="auto"/>
              <w:rPr>
                <w:rFonts w:ascii="宋体" w:hAnsi="宋体"/>
                <w:bCs/>
                <w:kern w:val="0"/>
                <w:sz w:val="28"/>
                <w:szCs w:val="28"/>
                <w:highlight w:val="none"/>
              </w:rPr>
            </w:pPr>
            <w:r>
              <w:rPr>
                <w:rFonts w:hint="eastAsia" w:ascii="宋体" w:hAnsi="宋体"/>
                <w:bCs/>
                <w:kern w:val="0"/>
                <w:sz w:val="28"/>
                <w:szCs w:val="28"/>
                <w:highlight w:val="none"/>
              </w:rPr>
              <w:t>整体绩效目标实现情况</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60.00</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53.75</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left"/>
              <w:textAlignment w:val="auto"/>
              <w:rPr>
                <w:rFonts w:ascii="宋体" w:hAnsi="宋体"/>
                <w:bCs/>
                <w:kern w:val="0"/>
                <w:sz w:val="28"/>
                <w:szCs w:val="28"/>
                <w:highlight w:val="none"/>
              </w:rPr>
            </w:pPr>
            <w:r>
              <w:rPr>
                <w:rFonts w:hint="eastAsia" w:ascii="宋体" w:hAnsi="宋体"/>
                <w:bCs/>
                <w:kern w:val="0"/>
                <w:sz w:val="28"/>
                <w:szCs w:val="28"/>
                <w:highlight w:val="none"/>
              </w:rPr>
              <w:t>预算管理情况</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20.00</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15.10</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left"/>
              <w:textAlignment w:val="auto"/>
              <w:rPr>
                <w:rFonts w:ascii="宋体" w:hAnsi="宋体"/>
                <w:bCs/>
                <w:kern w:val="0"/>
                <w:sz w:val="28"/>
                <w:szCs w:val="28"/>
                <w:highlight w:val="none"/>
              </w:rPr>
            </w:pPr>
            <w:r>
              <w:rPr>
                <w:rFonts w:hint="eastAsia" w:ascii="宋体" w:hAnsi="宋体"/>
                <w:bCs/>
                <w:kern w:val="0"/>
                <w:sz w:val="28"/>
                <w:szCs w:val="28"/>
                <w:highlight w:val="none"/>
              </w:rPr>
              <w:t>综合得分</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hint="eastAsia" w:ascii="宋体" w:hAnsi="宋体"/>
                <w:bCs/>
                <w:sz w:val="28"/>
                <w:szCs w:val="28"/>
                <w:highlight w:val="none"/>
              </w:rPr>
              <w:t>100.00</w:t>
            </w:r>
          </w:p>
        </w:tc>
        <w:tc>
          <w:tcPr>
            <w:tcW w:w="4536" w:type="dxa"/>
            <w:shd w:val="clear" w:color="auto" w:fill="auto"/>
            <w:vAlign w:val="center"/>
          </w:tcPr>
          <w:p>
            <w:pPr>
              <w:pageBreakBefore w:val="0"/>
              <w:kinsoku/>
              <w:wordWrap/>
              <w:overflowPunct/>
              <w:topLinePunct w:val="0"/>
              <w:autoSpaceDE/>
              <w:autoSpaceDN/>
              <w:bidi w:val="0"/>
              <w:adjustRightInd w:val="0"/>
              <w:snapToGrid w:val="0"/>
              <w:spacing w:line="560" w:lineRule="exact"/>
              <w:ind w:right="-57" w:rightChars="-27"/>
              <w:jc w:val="center"/>
              <w:textAlignment w:val="auto"/>
              <w:rPr>
                <w:rFonts w:ascii="宋体" w:hAnsi="宋体"/>
                <w:bCs/>
                <w:sz w:val="28"/>
                <w:szCs w:val="28"/>
                <w:highlight w:val="none"/>
              </w:rPr>
            </w:pPr>
            <w:r>
              <w:rPr>
                <w:rFonts w:ascii="宋体" w:hAnsi="宋体"/>
                <w:bCs/>
                <w:sz w:val="28"/>
                <w:szCs w:val="28"/>
                <w:highlight w:val="none"/>
              </w:rPr>
              <w:t>87.43</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57" w:type="dxa"/>
            <w:bottom w:w="0" w:type="dxa"/>
            <w:right w:w="57" w:type="dxa"/>
          </w:tblCellMar>
        </w:tblPrEx>
        <w:trPr>
          <w:cantSplit/>
          <w:trHeight w:val="397" w:hRule="atLeast"/>
          <w:jc w:val="center"/>
        </w:trPr>
        <w:tc>
          <w:tcPr>
            <w:tcW w:w="4536" w:type="dxa"/>
            <w:shd w:val="clear" w:color="auto" w:fill="auto"/>
            <w:vAlign w:val="center"/>
          </w:tcPr>
          <w:p>
            <w:pPr>
              <w:pageBreakBefore w:val="0"/>
              <w:widowControl/>
              <w:kinsoku/>
              <w:wordWrap/>
              <w:overflowPunct/>
              <w:topLinePunct w:val="0"/>
              <w:autoSpaceDE/>
              <w:autoSpaceDN/>
              <w:bidi w:val="0"/>
              <w:adjustRightInd w:val="0"/>
              <w:snapToGrid w:val="0"/>
              <w:spacing w:line="560" w:lineRule="exact"/>
              <w:ind w:right="-57" w:rightChars="-27"/>
              <w:jc w:val="left"/>
              <w:textAlignment w:val="auto"/>
              <w:rPr>
                <w:rFonts w:ascii="宋体" w:hAnsi="宋体"/>
                <w:bCs/>
                <w:kern w:val="0"/>
                <w:sz w:val="28"/>
                <w:szCs w:val="28"/>
                <w:highlight w:val="none"/>
              </w:rPr>
            </w:pPr>
            <w:r>
              <w:rPr>
                <w:rFonts w:hint="eastAsia" w:ascii="宋体" w:hAnsi="宋体"/>
                <w:bCs/>
                <w:kern w:val="0"/>
                <w:sz w:val="28"/>
                <w:szCs w:val="28"/>
                <w:highlight w:val="none"/>
              </w:rPr>
              <w:t>绩效评定级别</w:t>
            </w:r>
          </w:p>
        </w:tc>
        <w:tc>
          <w:tcPr>
            <w:tcW w:w="4536" w:type="dxa"/>
            <w:gridSpan w:val="2"/>
            <w:shd w:val="clear" w:color="auto" w:fill="auto"/>
            <w:vAlign w:val="center"/>
          </w:tcPr>
          <w:p>
            <w:pPr>
              <w:pageBreakBefore w:val="0"/>
              <w:kinsoku/>
              <w:wordWrap/>
              <w:overflowPunct/>
              <w:topLinePunct w:val="0"/>
              <w:autoSpaceDE/>
              <w:autoSpaceDN/>
              <w:bidi w:val="0"/>
              <w:adjustRightInd w:val="0"/>
              <w:snapToGrid w:val="0"/>
              <w:spacing w:line="560" w:lineRule="exact"/>
              <w:jc w:val="center"/>
              <w:textAlignment w:val="auto"/>
              <w:rPr>
                <w:rFonts w:ascii="宋体" w:hAnsi="宋体"/>
                <w:bCs/>
                <w:sz w:val="28"/>
                <w:szCs w:val="28"/>
                <w:highlight w:val="none"/>
              </w:rPr>
            </w:pPr>
            <w:r>
              <w:rPr>
                <w:rFonts w:hint="eastAsia" w:ascii="宋体" w:hAnsi="宋体"/>
                <w:bCs/>
                <w:sz w:val="28"/>
                <w:szCs w:val="28"/>
                <w:highlight w:val="none"/>
              </w:rPr>
              <w:t>良好</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六、存在的问题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部门整体绩效目标中部分指标设定不够科学全面，与职业教育活动相关的社会效益指标及与职业培训相关的可持续影响指标，内容描述不够具体，缺乏可衡量性。</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hint="eastAsia" w:ascii="黑体" w:hAnsi="黑体" w:eastAsia="黑体" w:cs="黑体"/>
          <w:b w:val="0"/>
          <w:bCs w:val="0"/>
          <w:color w:val="000000"/>
          <w:kern w:val="0"/>
          <w:sz w:val="32"/>
          <w:szCs w:val="32"/>
          <w:highlight w:val="none"/>
        </w:rPr>
      </w:pPr>
      <w:r>
        <w:rPr>
          <w:rFonts w:hint="eastAsia" w:ascii="黑体" w:hAnsi="黑体" w:eastAsia="黑体" w:cs="黑体"/>
          <w:b w:val="0"/>
          <w:bCs w:val="0"/>
          <w:color w:val="000000"/>
          <w:kern w:val="0"/>
          <w:sz w:val="32"/>
          <w:szCs w:val="32"/>
          <w:highlight w:val="none"/>
        </w:rPr>
        <w:t>七、措施建议</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绩效目标设定时应进行充分的调研与论证，注重绩效目标与评价指标的关联性，更加科学合理地确定部门绩效目标和评价目标。注重各项指标的可衡量性，包括对定性指标的分级分档表述。</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p>
    <w:bookmarkEnd w:id="0"/>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宋体" w:hAnsi="宋体"/>
          <w:sz w:val="24"/>
          <w:highlight w:val="none"/>
        </w:rPr>
      </w:pPr>
      <w:r>
        <w:rPr>
          <w:rFonts w:hint="eastAsia" w:ascii="仿宋_GB2312" w:hAnsi="仿宋_GB2312" w:eastAsia="仿宋_GB2312" w:cs="仿宋_GB2312"/>
          <w:sz w:val="32"/>
          <w:szCs w:val="32"/>
          <w:highlight w:val="none"/>
        </w:rPr>
        <w:t>附件：2023年部门整体绩效评价指标体系评分表</w:t>
      </w:r>
    </w:p>
    <w:p>
      <w:pPr>
        <w:pageBreakBefore w:val="0"/>
        <w:kinsoku/>
        <w:wordWrap/>
        <w:overflowPunct/>
        <w:topLinePunct w:val="0"/>
        <w:autoSpaceDE/>
        <w:autoSpaceDN/>
        <w:bidi w:val="0"/>
        <w:spacing w:line="560" w:lineRule="exact"/>
        <w:ind w:firstLine="480" w:firstLineChars="200"/>
        <w:textAlignment w:val="auto"/>
        <w:rPr>
          <w:rFonts w:ascii="宋体" w:hAnsi="宋体"/>
          <w:sz w:val="24"/>
          <w:highlight w:val="none"/>
        </w:rPr>
        <w:sectPr>
          <w:headerReference r:id="rId3" w:type="default"/>
          <w:footerReference r:id="rId4" w:type="default"/>
          <w:pgSz w:w="11906" w:h="16838"/>
          <w:pgMar w:top="1440" w:right="1474" w:bottom="1440" w:left="1588" w:header="851" w:footer="992" w:gutter="0"/>
          <w:pgNumType w:start="1"/>
          <w:cols w:space="425" w:num="1"/>
          <w:docGrid w:type="lines" w:linePitch="312" w:charSpace="0"/>
        </w:sectPr>
      </w:pPr>
    </w:p>
    <w:p>
      <w:pPr>
        <w:spacing w:line="360" w:lineRule="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w:t>
      </w:r>
    </w:p>
    <w:tbl>
      <w:tblPr>
        <w:tblStyle w:val="13"/>
        <w:tblW w:w="148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6"/>
        <w:gridCol w:w="1233"/>
        <w:gridCol w:w="1134"/>
        <w:gridCol w:w="1333"/>
        <w:gridCol w:w="1372"/>
        <w:gridCol w:w="745"/>
        <w:gridCol w:w="872"/>
        <w:gridCol w:w="2978"/>
        <w:gridCol w:w="4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14831"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等线" w:hAnsi="等线" w:eastAsia="等线" w:cs="等线"/>
                <w:b/>
                <w:bCs/>
                <w:i w:val="0"/>
                <w:iCs w:val="0"/>
                <w:color w:val="000000"/>
                <w:sz w:val="40"/>
                <w:szCs w:val="40"/>
                <w:highlight w:val="none"/>
                <w:u w:val="none"/>
              </w:rPr>
            </w:pPr>
            <w:r>
              <w:rPr>
                <w:rFonts w:hint="eastAsia" w:ascii="等线" w:hAnsi="等线" w:eastAsia="等线" w:cs="等线"/>
                <w:b/>
                <w:bCs/>
                <w:i w:val="0"/>
                <w:iCs w:val="0"/>
                <w:color w:val="000000"/>
                <w:kern w:val="0"/>
                <w:sz w:val="40"/>
                <w:szCs w:val="40"/>
                <w:highlight w:val="none"/>
                <w:u w:val="none"/>
                <w:lang w:val="en-US" w:eastAsia="zh-CN" w:bidi="ar"/>
              </w:rPr>
              <w:t>2023年部门整体绩效评价指标体系评分表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148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Style w:val="30"/>
                <w:highlight w:val="none"/>
                <w:lang w:val="en-US" w:eastAsia="zh-CN" w:bidi="ar"/>
              </w:rPr>
              <w:t>一、</w:t>
            </w:r>
            <w:r>
              <w:rPr>
                <w:rStyle w:val="31"/>
                <w:highlight w:val="none"/>
                <w:lang w:val="en-US" w:eastAsia="zh-CN" w:bidi="ar"/>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一级指标　</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二级指标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预算数</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（万元）</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执行数</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（万元）</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预算执行率</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分值</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指标解释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当年预算执行情况（20）</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资金总体</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29,081.19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27,023.42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92.92%</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20</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18.58</w:t>
            </w:r>
          </w:p>
        </w:tc>
        <w:tc>
          <w:tcPr>
            <w:tcW w:w="2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部门全年执行数与全年预算数的比率。资金总体=基本支出+项目支出+其他</w:t>
            </w:r>
          </w:p>
        </w:tc>
        <w:tc>
          <w:tcPr>
            <w:tcW w:w="42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w:t>
            </w:r>
          </w:p>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基本支出</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23,989.</w:t>
            </w:r>
            <w:r>
              <w:rPr>
                <w:rFonts w:hint="eastAsia" w:ascii="宋体" w:hAnsi="宋体" w:cs="宋体"/>
                <w:i w:val="0"/>
                <w:iCs w:val="0"/>
                <w:color w:val="000000"/>
                <w:kern w:val="0"/>
                <w:sz w:val="18"/>
                <w:szCs w:val="18"/>
                <w:highlight w:val="none"/>
                <w:u w:val="none"/>
                <w:lang w:val="en-US" w:eastAsia="zh-CN" w:bidi="ar"/>
              </w:rPr>
              <w:t>63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21,965.15</w:t>
            </w:r>
          </w:p>
        </w:tc>
        <w:tc>
          <w:tcPr>
            <w:tcW w:w="1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项目支出</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4,933.3</w:t>
            </w:r>
            <w:r>
              <w:rPr>
                <w:rFonts w:hint="eastAsia" w:ascii="宋体" w:hAnsi="宋体" w:cs="宋体"/>
                <w:i w:val="0"/>
                <w:iCs w:val="0"/>
                <w:color w:val="000000"/>
                <w:kern w:val="0"/>
                <w:sz w:val="18"/>
                <w:szCs w:val="18"/>
                <w:highlight w:val="none"/>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4,900.0</w:t>
            </w:r>
            <w:r>
              <w:rPr>
                <w:rFonts w:hint="eastAsia" w:ascii="宋体" w:hAnsi="宋体" w:cs="宋体"/>
                <w:i w:val="0"/>
                <w:iCs w:val="0"/>
                <w:color w:val="000000"/>
                <w:kern w:val="0"/>
                <w:sz w:val="18"/>
                <w:szCs w:val="18"/>
                <w:highlight w:val="none"/>
                <w:u w:val="none"/>
                <w:lang w:val="en-US" w:eastAsia="zh-CN" w:bidi="ar"/>
              </w:rPr>
              <w:t>4</w:t>
            </w:r>
          </w:p>
        </w:tc>
        <w:tc>
          <w:tcPr>
            <w:tcW w:w="1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其他</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158.23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158.23</w:t>
            </w:r>
          </w:p>
        </w:tc>
        <w:tc>
          <w:tcPr>
            <w:tcW w:w="1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148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Style w:val="30"/>
                <w:highlight w:val="none"/>
                <w:lang w:val="en-US" w:eastAsia="zh-CN" w:bidi="ar"/>
              </w:rPr>
              <w:t>二、</w:t>
            </w:r>
            <w:r>
              <w:rPr>
                <w:rStyle w:val="31"/>
                <w:highlight w:val="none"/>
                <w:lang w:val="en-US" w:eastAsia="zh-CN" w:bidi="ar"/>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一级指标</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二级指标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三级指标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指标值</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完成值</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分值</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指标解释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jc w:val="center"/>
        </w:trPr>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整体绩效目标实现情况（60）</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产出（30）</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产出数量</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促进科研与教学协调发展</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完成科研立项目标</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产出数量</w:t>
            </w:r>
            <w:r>
              <w:rPr>
                <w:rStyle w:val="32"/>
                <w:sz w:val="20"/>
                <w:szCs w:val="20"/>
                <w:highlight w:val="none"/>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Style w:val="32"/>
                <w:sz w:val="20"/>
                <w:szCs w:val="20"/>
                <w:highlight w:val="none"/>
                <w:lang w:val="en-US" w:eastAsia="zh-CN" w:bidi="ar"/>
              </w:rPr>
              <w:br w:type="textWrapping"/>
            </w:r>
            <w:r>
              <w:rPr>
                <w:rStyle w:val="30"/>
                <w:sz w:val="20"/>
                <w:szCs w:val="20"/>
                <w:highlight w:val="none"/>
                <w:lang w:val="en-US" w:eastAsia="zh-CN" w:bidi="ar"/>
              </w:rPr>
              <w:t>产出质量</w:t>
            </w:r>
            <w:r>
              <w:rPr>
                <w:rStyle w:val="32"/>
                <w:sz w:val="20"/>
                <w:szCs w:val="20"/>
                <w:highlight w:val="none"/>
                <w:lang w:val="en-US" w:eastAsia="zh-CN" w:bidi="ar"/>
              </w:rPr>
              <w:t>：质量达标率=质量达标工作数/实际完成工作数×100%。质量达标工作数：一定时期（年度或规划期）内部门（单位）实际完成工作数中达到部门绩效目标要求（绩效标准值）的工作任务数量。</w:t>
            </w:r>
            <w:r>
              <w:rPr>
                <w:rStyle w:val="32"/>
                <w:sz w:val="20"/>
                <w:szCs w:val="20"/>
                <w:highlight w:val="none"/>
                <w:lang w:val="en-US" w:eastAsia="zh-CN" w:bidi="ar"/>
              </w:rPr>
              <w:br w:type="textWrapping"/>
            </w:r>
            <w:r>
              <w:rPr>
                <w:rStyle w:val="30"/>
                <w:sz w:val="20"/>
                <w:szCs w:val="20"/>
                <w:highlight w:val="none"/>
                <w:lang w:val="en-US" w:eastAsia="zh-CN" w:bidi="ar"/>
              </w:rPr>
              <w:t>产出进度：</w:t>
            </w:r>
            <w:r>
              <w:rPr>
                <w:rStyle w:val="32"/>
                <w:sz w:val="20"/>
                <w:szCs w:val="20"/>
                <w:highlight w:val="none"/>
                <w:lang w:val="en-US" w:eastAsia="zh-CN" w:bidi="ar"/>
              </w:rPr>
              <w:t>按时完成率=（按时完成工作数/实际完成工作数）×100%。按时完成工作数：部门（单位）按照整体绩效目标确定的时限实际完成的工作任务数量。</w:t>
            </w:r>
            <w:r>
              <w:rPr>
                <w:rStyle w:val="32"/>
                <w:sz w:val="20"/>
                <w:szCs w:val="20"/>
                <w:highlight w:val="none"/>
                <w:lang w:val="en-US" w:eastAsia="zh-CN" w:bidi="ar"/>
              </w:rPr>
              <w:br w:type="textWrapping"/>
            </w:r>
            <w:r>
              <w:rPr>
                <w:rStyle w:val="30"/>
                <w:sz w:val="20"/>
                <w:szCs w:val="20"/>
                <w:highlight w:val="none"/>
                <w:lang w:val="en-US" w:eastAsia="zh-CN" w:bidi="ar"/>
              </w:rPr>
              <w:t>产出成本</w:t>
            </w:r>
            <w:r>
              <w:rPr>
                <w:rStyle w:val="32"/>
                <w:sz w:val="20"/>
                <w:szCs w:val="20"/>
                <w:highlight w:val="none"/>
                <w:lang w:val="en-US" w:eastAsia="zh-CN" w:bidi="ar"/>
              </w:rPr>
              <w:t>：单位产出相对于上一年度的节约额；②单位产出相对于市场同类产出的节约额；③部门公用经费的控制情况。</w:t>
            </w:r>
          </w:p>
        </w:tc>
        <w:tc>
          <w:tcPr>
            <w:tcW w:w="42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对接企业需求促进招生就业</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完成促进招生就业工作</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4.85</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产出质量</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持续推进教育教学改革</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持续推进教育教学改革</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不断提高服务政法能力</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不断提高服务政法能力</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产出进度</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完成全年工作任务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完成全年工作任务　</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4.5</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产出成本</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严格控制支出成本，充分发挥财政资金效能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全年支出在预算额度内，充分发挥资金效能　</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4.6</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20"/>
                <w:szCs w:val="20"/>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效果（30）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社会效益</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落实党的教育方针，培养社会主义建设者和接班人</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落实党的教育方针，培养社会主义建设者和接班人</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6.3</w:t>
            </w:r>
          </w:p>
        </w:tc>
        <w:tc>
          <w:tcPr>
            <w:tcW w:w="2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经济效益</w:t>
            </w:r>
            <w:r>
              <w:rPr>
                <w:rStyle w:val="32"/>
                <w:sz w:val="20"/>
                <w:szCs w:val="20"/>
                <w:highlight w:val="none"/>
                <w:lang w:val="en-US" w:eastAsia="zh-CN" w:bidi="ar"/>
              </w:rPr>
              <w:t>：部门（单位）履行职责对经济发展所带来的直接或间接影响。</w:t>
            </w:r>
            <w:r>
              <w:rPr>
                <w:rStyle w:val="32"/>
                <w:sz w:val="20"/>
                <w:szCs w:val="20"/>
                <w:highlight w:val="none"/>
                <w:lang w:val="en-US" w:eastAsia="zh-CN" w:bidi="ar"/>
              </w:rPr>
              <w:br w:type="textWrapping"/>
            </w:r>
            <w:r>
              <w:rPr>
                <w:rStyle w:val="30"/>
                <w:sz w:val="20"/>
                <w:szCs w:val="20"/>
                <w:highlight w:val="none"/>
                <w:lang w:val="en-US" w:eastAsia="zh-CN" w:bidi="ar"/>
              </w:rPr>
              <w:t>社会效益</w:t>
            </w:r>
            <w:r>
              <w:rPr>
                <w:rStyle w:val="32"/>
                <w:sz w:val="20"/>
                <w:szCs w:val="20"/>
                <w:highlight w:val="none"/>
                <w:lang w:val="en-US" w:eastAsia="zh-CN" w:bidi="ar"/>
              </w:rPr>
              <w:t>：部门（单位）履行职责对社会发展所带来的直接或间接影响。</w:t>
            </w:r>
            <w:r>
              <w:rPr>
                <w:rStyle w:val="32"/>
                <w:sz w:val="20"/>
                <w:szCs w:val="20"/>
                <w:highlight w:val="none"/>
                <w:lang w:val="en-US" w:eastAsia="zh-CN" w:bidi="ar"/>
              </w:rPr>
              <w:br w:type="textWrapping"/>
            </w:r>
            <w:r>
              <w:rPr>
                <w:rStyle w:val="30"/>
                <w:sz w:val="20"/>
                <w:szCs w:val="20"/>
                <w:highlight w:val="none"/>
                <w:lang w:val="en-US" w:eastAsia="zh-CN" w:bidi="ar"/>
              </w:rPr>
              <w:t>环境效益</w:t>
            </w:r>
            <w:r>
              <w:rPr>
                <w:rStyle w:val="32"/>
                <w:sz w:val="20"/>
                <w:szCs w:val="20"/>
                <w:highlight w:val="none"/>
                <w:lang w:val="en-US" w:eastAsia="zh-CN" w:bidi="ar"/>
              </w:rPr>
              <w:t>：部门（单位）履行职责对环境所带来的直接或间接影响。</w:t>
            </w:r>
            <w:r>
              <w:rPr>
                <w:rStyle w:val="32"/>
                <w:sz w:val="20"/>
                <w:szCs w:val="20"/>
                <w:highlight w:val="none"/>
                <w:lang w:val="en-US" w:eastAsia="zh-CN" w:bidi="ar"/>
              </w:rPr>
              <w:br w:type="textWrapping"/>
            </w:r>
            <w:r>
              <w:rPr>
                <w:rStyle w:val="30"/>
                <w:sz w:val="20"/>
                <w:szCs w:val="20"/>
                <w:highlight w:val="none"/>
                <w:lang w:val="en-US" w:eastAsia="zh-CN" w:bidi="ar"/>
              </w:rPr>
              <w:t>可持续性影响：</w:t>
            </w:r>
            <w:r>
              <w:rPr>
                <w:rStyle w:val="32"/>
                <w:sz w:val="20"/>
                <w:szCs w:val="20"/>
                <w:highlight w:val="none"/>
                <w:lang w:val="en-US" w:eastAsia="zh-CN" w:bidi="ar"/>
              </w:rPr>
              <w:t>部门绩效目标实现的长效机制建设情况，部门工作效率提升措施的创新。</w:t>
            </w:r>
            <w:r>
              <w:rPr>
                <w:rStyle w:val="32"/>
                <w:sz w:val="20"/>
                <w:szCs w:val="20"/>
                <w:highlight w:val="none"/>
                <w:lang w:val="en-US" w:eastAsia="zh-CN" w:bidi="ar"/>
              </w:rPr>
              <w:br w:type="textWrapping"/>
            </w:r>
            <w:r>
              <w:rPr>
                <w:rStyle w:val="30"/>
                <w:sz w:val="20"/>
                <w:szCs w:val="20"/>
                <w:highlight w:val="none"/>
                <w:lang w:val="en-US" w:eastAsia="zh-CN" w:bidi="ar"/>
              </w:rPr>
              <w:t>服务对象满意度</w:t>
            </w:r>
            <w:r>
              <w:rPr>
                <w:rStyle w:val="32"/>
                <w:sz w:val="20"/>
                <w:szCs w:val="20"/>
                <w:highlight w:val="none"/>
                <w:lang w:val="en-US" w:eastAsia="zh-CN" w:bidi="ar"/>
              </w:rPr>
              <w:t>：部门（单位）的服务对象对部门履职效果的满意程度。</w:t>
            </w:r>
          </w:p>
        </w:tc>
        <w:tc>
          <w:tcPr>
            <w:tcW w:w="42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可持续影响指标</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开展政法委及相关业务单位的培训等业务</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开展政法委及相关业务单位的培训等业务</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推动校企深度融合，促进专业建设和教育教学改革，强化高素质技术技能人才培养</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推动校企深度融合，促进专业建设和教育教学改革，强化高素质技术技能人才培养</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6.3</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服务对象满意度</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服务对象满意度高</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服务对象均满意</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2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highlight w:val="none"/>
                <w:u w:val="none"/>
              </w:rPr>
            </w:pP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148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Style w:val="30"/>
                <w:highlight w:val="none"/>
                <w:lang w:val="en-US" w:eastAsia="zh-CN" w:bidi="ar"/>
              </w:rPr>
              <w:t>三、</w:t>
            </w:r>
            <w:r>
              <w:rPr>
                <w:rStyle w:val="31"/>
                <w:highlight w:val="none"/>
                <w:lang w:val="en-US" w:eastAsia="zh-CN" w:bidi="ar"/>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一级指标</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二级指标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三级指标</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指标值</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完成值</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分值</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指标解释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jc w:val="center"/>
        </w:trPr>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预算管理情况（20）</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财务管理（4）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财务管理制度健全性</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财务管理制度健全、完整、合规</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财务管理制度健全、完整、合规　</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财务管理制度健全性:</w:t>
            </w:r>
            <w:r>
              <w:rPr>
                <w:rStyle w:val="32"/>
                <w:sz w:val="20"/>
                <w:szCs w:val="20"/>
                <w:highlight w:val="none"/>
                <w:lang w:val="en-US" w:eastAsia="zh-CN" w:bidi="ar"/>
              </w:rPr>
              <w:t>部门（单位）为加强财务管理、规范财务行为而制定的管理制度。</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资金使用合规性和安全性</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按照财务管理制度的规定开支，开支范围符合规定</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按照财务管理制度的规定开支，开支范围符合规定　</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资金使用合规性和安全性:</w:t>
            </w:r>
            <w:r>
              <w:rPr>
                <w:rStyle w:val="32"/>
                <w:sz w:val="20"/>
                <w:szCs w:val="20"/>
                <w:highlight w:val="none"/>
                <w:lang w:val="en-US" w:eastAsia="zh-CN" w:bidi="ar"/>
              </w:rPr>
              <w:t>部门（单位）使用预算资金是否符合相关的预算财务管理制度的规定，是否符合相关规定的开支范围，用以反映考核部门（单位）预算资金的规范运行和安全运行情况。</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会计基础信息完善性</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会计基础信息真实、完整、准确　</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会计基础信息真实、完整、准确　</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会计基础信息完善性:</w:t>
            </w:r>
            <w:r>
              <w:rPr>
                <w:rStyle w:val="32"/>
                <w:sz w:val="20"/>
                <w:szCs w:val="20"/>
                <w:highlight w:val="none"/>
                <w:lang w:val="en-US" w:eastAsia="zh-CN" w:bidi="ar"/>
              </w:rPr>
              <w:t>部门（单位）会计基础信息情况。</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资产管理（4）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资产管理规范性</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资产安全完整、合理配置、使用和处置规范</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资产安全完整、合理配置、使用和处置规范</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3.2</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资产管理规范性:</w:t>
            </w:r>
            <w:r>
              <w:rPr>
                <w:rStyle w:val="32"/>
                <w:sz w:val="20"/>
                <w:szCs w:val="20"/>
                <w:highlight w:val="none"/>
                <w:lang w:val="en-US" w:eastAsia="zh-CN" w:bidi="ar"/>
              </w:rPr>
              <w:t>部门（单位）的资产是否保持安全完整，资产配置是否合理，资产使用和资产处理是否规范，用以反映和考核部门（单位）资产管理的整体水平。</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2"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绩效管理（4）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绩效管理情况</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及时对绩效信息进行汇总整理，对绩效目标偏离事项及时矫正</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及时对绩效信息进行汇总整理，对绩效目标偏离事项及时矫正</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3.5</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highlight w:val="none"/>
                <w:u w:val="none"/>
              </w:rPr>
            </w:pPr>
            <w:r>
              <w:rPr>
                <w:rStyle w:val="30"/>
                <w:sz w:val="20"/>
                <w:szCs w:val="20"/>
                <w:highlight w:val="none"/>
                <w:lang w:val="en-US" w:eastAsia="zh-CN" w:bidi="ar"/>
              </w:rPr>
              <w:t>绩效管理情况:</w:t>
            </w:r>
            <w:r>
              <w:rPr>
                <w:rStyle w:val="32"/>
                <w:sz w:val="20"/>
                <w:szCs w:val="20"/>
                <w:highlight w:val="none"/>
                <w:lang w:val="en-US" w:eastAsia="zh-CN" w:bidi="ar"/>
              </w:rPr>
              <w:t>考核部门（单位）在绩效管理信息的汇总和应用情况。</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　</w:t>
            </w:r>
          </w:p>
        </w:tc>
        <w:tc>
          <w:tcPr>
            <w:tcW w:w="2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2022年</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2023年</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指标解释</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结转结余率（4）</w:t>
            </w:r>
          </w:p>
        </w:tc>
        <w:tc>
          <w:tcPr>
            <w:tcW w:w="24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3.33%</w:t>
            </w:r>
          </w:p>
        </w:tc>
        <w:tc>
          <w:tcPr>
            <w:tcW w:w="1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7.08%</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结转结余率=结转结余总额/支出预算数×100%。</w:t>
            </w:r>
          </w:p>
        </w:tc>
        <w:tc>
          <w:tcPr>
            <w:tcW w:w="42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24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结转结余总额：部门（单位）本年度的结转资金与结余资金之和。</w:t>
            </w:r>
          </w:p>
        </w:tc>
        <w:tc>
          <w:tcPr>
            <w:tcW w:w="4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jc w:val="center"/>
        </w:trPr>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部门预决算差异率（4）</w:t>
            </w:r>
          </w:p>
        </w:tc>
        <w:tc>
          <w:tcPr>
            <w:tcW w:w="2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24.07%</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通过年度部门决算与年初部门预算对比，对部门的年度支出情况进行考核，衡量部门预算的约束力。</w:t>
            </w:r>
          </w:p>
        </w:tc>
        <w:tc>
          <w:tcPr>
            <w:tcW w:w="4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5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合计</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87.43</w:t>
            </w:r>
          </w:p>
        </w:tc>
        <w:tc>
          <w:tcPr>
            <w:tcW w:w="7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p>
        </w:tc>
      </w:tr>
    </w:tbl>
    <w:p>
      <w:pPr>
        <w:spacing w:line="360" w:lineRule="auto"/>
        <w:rPr>
          <w:rFonts w:ascii="宋体" w:hAnsi="宋体"/>
          <w:sz w:val="24"/>
          <w:highlight w:val="none"/>
        </w:rPr>
      </w:pPr>
    </w:p>
    <w:sectPr>
      <w:pgSz w:w="16838" w:h="11906" w:orient="landscape"/>
      <w:pgMar w:top="1588" w:right="1440" w:bottom="1474" w:left="144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6026412"/>
      <w:docPartObj>
        <w:docPartGallery w:val="autotext"/>
      </w:docPartObj>
    </w:sdtPr>
    <w:sdtContent>
      <w:sdt>
        <w:sdtPr>
          <w:id w:val="1728636285"/>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xNDVhMjBlOGE4NGI5NTMxMTVmN2E2ZGE2YTY1NzUifQ=="/>
  </w:docVars>
  <w:rsids>
    <w:rsidRoot w:val="004F1D92"/>
    <w:rsid w:val="00001577"/>
    <w:rsid w:val="00004A19"/>
    <w:rsid w:val="000115F2"/>
    <w:rsid w:val="0001640F"/>
    <w:rsid w:val="00017C0A"/>
    <w:rsid w:val="00022D57"/>
    <w:rsid w:val="000273AF"/>
    <w:rsid w:val="00031171"/>
    <w:rsid w:val="00033523"/>
    <w:rsid w:val="00034C88"/>
    <w:rsid w:val="00041F4D"/>
    <w:rsid w:val="0004211A"/>
    <w:rsid w:val="0004379E"/>
    <w:rsid w:val="00047DDA"/>
    <w:rsid w:val="000534E9"/>
    <w:rsid w:val="000557E5"/>
    <w:rsid w:val="00066F5C"/>
    <w:rsid w:val="0007012F"/>
    <w:rsid w:val="00070DCB"/>
    <w:rsid w:val="000726B2"/>
    <w:rsid w:val="00072CF0"/>
    <w:rsid w:val="00083CEA"/>
    <w:rsid w:val="00084634"/>
    <w:rsid w:val="000878BA"/>
    <w:rsid w:val="00087F3B"/>
    <w:rsid w:val="00090681"/>
    <w:rsid w:val="000924BA"/>
    <w:rsid w:val="000941F2"/>
    <w:rsid w:val="000A242F"/>
    <w:rsid w:val="000A3A31"/>
    <w:rsid w:val="000A7F9E"/>
    <w:rsid w:val="000B0536"/>
    <w:rsid w:val="000B3701"/>
    <w:rsid w:val="000B575C"/>
    <w:rsid w:val="000C3ADA"/>
    <w:rsid w:val="000D0501"/>
    <w:rsid w:val="000D1A45"/>
    <w:rsid w:val="000D3ED6"/>
    <w:rsid w:val="000D463A"/>
    <w:rsid w:val="000D6B0A"/>
    <w:rsid w:val="000E095B"/>
    <w:rsid w:val="000E0A72"/>
    <w:rsid w:val="000E0E04"/>
    <w:rsid w:val="000E245C"/>
    <w:rsid w:val="000E5DE2"/>
    <w:rsid w:val="000E6A55"/>
    <w:rsid w:val="000F4C39"/>
    <w:rsid w:val="00100995"/>
    <w:rsid w:val="0010386F"/>
    <w:rsid w:val="001133F5"/>
    <w:rsid w:val="00113400"/>
    <w:rsid w:val="00114C57"/>
    <w:rsid w:val="0011693E"/>
    <w:rsid w:val="001232A0"/>
    <w:rsid w:val="00127521"/>
    <w:rsid w:val="00127E83"/>
    <w:rsid w:val="001322AC"/>
    <w:rsid w:val="00132A65"/>
    <w:rsid w:val="00140063"/>
    <w:rsid w:val="00143CD0"/>
    <w:rsid w:val="00153581"/>
    <w:rsid w:val="00162B53"/>
    <w:rsid w:val="001714ED"/>
    <w:rsid w:val="00173B74"/>
    <w:rsid w:val="001840D5"/>
    <w:rsid w:val="0018799D"/>
    <w:rsid w:val="00194F5C"/>
    <w:rsid w:val="0019603C"/>
    <w:rsid w:val="0019733E"/>
    <w:rsid w:val="001A0630"/>
    <w:rsid w:val="001A331E"/>
    <w:rsid w:val="001A5569"/>
    <w:rsid w:val="001A778B"/>
    <w:rsid w:val="001B177D"/>
    <w:rsid w:val="001B2D4A"/>
    <w:rsid w:val="001B5CA3"/>
    <w:rsid w:val="001C4710"/>
    <w:rsid w:val="001C4F2E"/>
    <w:rsid w:val="001D5036"/>
    <w:rsid w:val="001D58C3"/>
    <w:rsid w:val="001E5674"/>
    <w:rsid w:val="001F249F"/>
    <w:rsid w:val="0020513A"/>
    <w:rsid w:val="00220F89"/>
    <w:rsid w:val="0022389A"/>
    <w:rsid w:val="00242FCA"/>
    <w:rsid w:val="00247EED"/>
    <w:rsid w:val="00253699"/>
    <w:rsid w:val="00255521"/>
    <w:rsid w:val="00262856"/>
    <w:rsid w:val="00264E97"/>
    <w:rsid w:val="002717D4"/>
    <w:rsid w:val="0027342A"/>
    <w:rsid w:val="00281110"/>
    <w:rsid w:val="00285475"/>
    <w:rsid w:val="002864B1"/>
    <w:rsid w:val="002900D1"/>
    <w:rsid w:val="002A0AC2"/>
    <w:rsid w:val="002A0D29"/>
    <w:rsid w:val="002A14D3"/>
    <w:rsid w:val="002A1A28"/>
    <w:rsid w:val="002A266A"/>
    <w:rsid w:val="002B0B71"/>
    <w:rsid w:val="002B27DF"/>
    <w:rsid w:val="002C5858"/>
    <w:rsid w:val="002C6977"/>
    <w:rsid w:val="002D4CB2"/>
    <w:rsid w:val="002E15EB"/>
    <w:rsid w:val="002E1B33"/>
    <w:rsid w:val="002E6065"/>
    <w:rsid w:val="002F1ADE"/>
    <w:rsid w:val="002F38B5"/>
    <w:rsid w:val="002F7BFB"/>
    <w:rsid w:val="00300CDA"/>
    <w:rsid w:val="0030361A"/>
    <w:rsid w:val="00306982"/>
    <w:rsid w:val="003074A2"/>
    <w:rsid w:val="00310CB2"/>
    <w:rsid w:val="00310FE5"/>
    <w:rsid w:val="003158E2"/>
    <w:rsid w:val="00315F5D"/>
    <w:rsid w:val="00317031"/>
    <w:rsid w:val="00320A46"/>
    <w:rsid w:val="00324C46"/>
    <w:rsid w:val="00342256"/>
    <w:rsid w:val="0034280A"/>
    <w:rsid w:val="00350667"/>
    <w:rsid w:val="003516D1"/>
    <w:rsid w:val="003517F9"/>
    <w:rsid w:val="00352FDC"/>
    <w:rsid w:val="0035366E"/>
    <w:rsid w:val="00357EB6"/>
    <w:rsid w:val="00362F23"/>
    <w:rsid w:val="00366B66"/>
    <w:rsid w:val="00375398"/>
    <w:rsid w:val="0037782E"/>
    <w:rsid w:val="00377A38"/>
    <w:rsid w:val="00380442"/>
    <w:rsid w:val="00382BA1"/>
    <w:rsid w:val="00393437"/>
    <w:rsid w:val="00393624"/>
    <w:rsid w:val="00394A7F"/>
    <w:rsid w:val="00396440"/>
    <w:rsid w:val="00397204"/>
    <w:rsid w:val="003A1F7E"/>
    <w:rsid w:val="003A2004"/>
    <w:rsid w:val="003A72D6"/>
    <w:rsid w:val="003B091E"/>
    <w:rsid w:val="003B10E8"/>
    <w:rsid w:val="003B163B"/>
    <w:rsid w:val="003B2EE1"/>
    <w:rsid w:val="003B33FE"/>
    <w:rsid w:val="003B6722"/>
    <w:rsid w:val="003C55B3"/>
    <w:rsid w:val="003C6434"/>
    <w:rsid w:val="003C7CA1"/>
    <w:rsid w:val="003D01AA"/>
    <w:rsid w:val="003D06A4"/>
    <w:rsid w:val="003D1D73"/>
    <w:rsid w:val="003D2B0E"/>
    <w:rsid w:val="003D52BD"/>
    <w:rsid w:val="003D6EE5"/>
    <w:rsid w:val="003D7D82"/>
    <w:rsid w:val="003E2F2E"/>
    <w:rsid w:val="003E6537"/>
    <w:rsid w:val="003F1F5C"/>
    <w:rsid w:val="003F33A2"/>
    <w:rsid w:val="00403E1B"/>
    <w:rsid w:val="00410403"/>
    <w:rsid w:val="00412EBC"/>
    <w:rsid w:val="00413C83"/>
    <w:rsid w:val="00415C36"/>
    <w:rsid w:val="004254FC"/>
    <w:rsid w:val="00427309"/>
    <w:rsid w:val="00431080"/>
    <w:rsid w:val="0043316A"/>
    <w:rsid w:val="00440A80"/>
    <w:rsid w:val="00441A38"/>
    <w:rsid w:val="00441F2D"/>
    <w:rsid w:val="004561D6"/>
    <w:rsid w:val="00456448"/>
    <w:rsid w:val="00465B63"/>
    <w:rsid w:val="004707B2"/>
    <w:rsid w:val="00475B72"/>
    <w:rsid w:val="0047613C"/>
    <w:rsid w:val="00481070"/>
    <w:rsid w:val="004811F8"/>
    <w:rsid w:val="004818B7"/>
    <w:rsid w:val="0048573F"/>
    <w:rsid w:val="00490F75"/>
    <w:rsid w:val="004912D8"/>
    <w:rsid w:val="00497DB9"/>
    <w:rsid w:val="004B0835"/>
    <w:rsid w:val="004B2A7E"/>
    <w:rsid w:val="004B2C88"/>
    <w:rsid w:val="004D095D"/>
    <w:rsid w:val="004D0BBA"/>
    <w:rsid w:val="004D14C7"/>
    <w:rsid w:val="004D1CFD"/>
    <w:rsid w:val="004D2386"/>
    <w:rsid w:val="004E0DEB"/>
    <w:rsid w:val="004E4CBF"/>
    <w:rsid w:val="004E4DE4"/>
    <w:rsid w:val="004F102E"/>
    <w:rsid w:val="004F1D92"/>
    <w:rsid w:val="004F70F2"/>
    <w:rsid w:val="005008DA"/>
    <w:rsid w:val="00502FF6"/>
    <w:rsid w:val="005039E4"/>
    <w:rsid w:val="005119F5"/>
    <w:rsid w:val="00521B6A"/>
    <w:rsid w:val="00522559"/>
    <w:rsid w:val="00526715"/>
    <w:rsid w:val="0052743B"/>
    <w:rsid w:val="00540540"/>
    <w:rsid w:val="00542006"/>
    <w:rsid w:val="005436F7"/>
    <w:rsid w:val="005448CF"/>
    <w:rsid w:val="00544C00"/>
    <w:rsid w:val="00544FE2"/>
    <w:rsid w:val="005479CB"/>
    <w:rsid w:val="005500CA"/>
    <w:rsid w:val="0055180F"/>
    <w:rsid w:val="0055225C"/>
    <w:rsid w:val="005522D9"/>
    <w:rsid w:val="00555064"/>
    <w:rsid w:val="00560868"/>
    <w:rsid w:val="0056515A"/>
    <w:rsid w:val="00565D4F"/>
    <w:rsid w:val="005703C2"/>
    <w:rsid w:val="005711E4"/>
    <w:rsid w:val="005722C8"/>
    <w:rsid w:val="00572EC6"/>
    <w:rsid w:val="00574ABD"/>
    <w:rsid w:val="00576D13"/>
    <w:rsid w:val="0057786A"/>
    <w:rsid w:val="0058160F"/>
    <w:rsid w:val="00582771"/>
    <w:rsid w:val="00582F05"/>
    <w:rsid w:val="00584F63"/>
    <w:rsid w:val="0058669A"/>
    <w:rsid w:val="005913A2"/>
    <w:rsid w:val="00592AAB"/>
    <w:rsid w:val="0059751A"/>
    <w:rsid w:val="005A150D"/>
    <w:rsid w:val="005A1D5E"/>
    <w:rsid w:val="005A213C"/>
    <w:rsid w:val="005A3BD1"/>
    <w:rsid w:val="005A4E3B"/>
    <w:rsid w:val="005A5D81"/>
    <w:rsid w:val="005B0180"/>
    <w:rsid w:val="005B10CE"/>
    <w:rsid w:val="005B32D8"/>
    <w:rsid w:val="005B4189"/>
    <w:rsid w:val="005B5C68"/>
    <w:rsid w:val="005C58C4"/>
    <w:rsid w:val="005D314D"/>
    <w:rsid w:val="005D6BBF"/>
    <w:rsid w:val="005E0890"/>
    <w:rsid w:val="005E0995"/>
    <w:rsid w:val="005E37C2"/>
    <w:rsid w:val="005E4C28"/>
    <w:rsid w:val="005E576D"/>
    <w:rsid w:val="005F5AD7"/>
    <w:rsid w:val="00600D48"/>
    <w:rsid w:val="00602FD4"/>
    <w:rsid w:val="00605F77"/>
    <w:rsid w:val="00606FB0"/>
    <w:rsid w:val="00610098"/>
    <w:rsid w:val="00610929"/>
    <w:rsid w:val="00611AFA"/>
    <w:rsid w:val="00614085"/>
    <w:rsid w:val="00614A73"/>
    <w:rsid w:val="00615556"/>
    <w:rsid w:val="00616EBC"/>
    <w:rsid w:val="00627524"/>
    <w:rsid w:val="00630461"/>
    <w:rsid w:val="00631440"/>
    <w:rsid w:val="00634EB0"/>
    <w:rsid w:val="00646A7F"/>
    <w:rsid w:val="00652620"/>
    <w:rsid w:val="00657F28"/>
    <w:rsid w:val="006630E1"/>
    <w:rsid w:val="00666B28"/>
    <w:rsid w:val="00666BA9"/>
    <w:rsid w:val="00670D1B"/>
    <w:rsid w:val="0067473E"/>
    <w:rsid w:val="006767E1"/>
    <w:rsid w:val="00681DEA"/>
    <w:rsid w:val="0068343E"/>
    <w:rsid w:val="006838BA"/>
    <w:rsid w:val="0068534C"/>
    <w:rsid w:val="0069063B"/>
    <w:rsid w:val="006911A0"/>
    <w:rsid w:val="00695F0D"/>
    <w:rsid w:val="0069610A"/>
    <w:rsid w:val="00697B02"/>
    <w:rsid w:val="006A1522"/>
    <w:rsid w:val="006A6125"/>
    <w:rsid w:val="006A790A"/>
    <w:rsid w:val="006A7EF3"/>
    <w:rsid w:val="006B4B44"/>
    <w:rsid w:val="006B7A4B"/>
    <w:rsid w:val="006C14EE"/>
    <w:rsid w:val="006C53B8"/>
    <w:rsid w:val="006C7D38"/>
    <w:rsid w:val="006D07DE"/>
    <w:rsid w:val="006E18F9"/>
    <w:rsid w:val="006F0805"/>
    <w:rsid w:val="006F360D"/>
    <w:rsid w:val="006F503C"/>
    <w:rsid w:val="006F70FC"/>
    <w:rsid w:val="00703D9D"/>
    <w:rsid w:val="00705D2C"/>
    <w:rsid w:val="007113F3"/>
    <w:rsid w:val="00711451"/>
    <w:rsid w:val="00713808"/>
    <w:rsid w:val="00716D9F"/>
    <w:rsid w:val="0072187E"/>
    <w:rsid w:val="00740E88"/>
    <w:rsid w:val="00745B82"/>
    <w:rsid w:val="00747EA2"/>
    <w:rsid w:val="007502F0"/>
    <w:rsid w:val="00752331"/>
    <w:rsid w:val="00756E48"/>
    <w:rsid w:val="00757DBC"/>
    <w:rsid w:val="00762E1C"/>
    <w:rsid w:val="00771A68"/>
    <w:rsid w:val="00772075"/>
    <w:rsid w:val="00774AFB"/>
    <w:rsid w:val="00776213"/>
    <w:rsid w:val="00780108"/>
    <w:rsid w:val="00780264"/>
    <w:rsid w:val="00784EAB"/>
    <w:rsid w:val="00787E46"/>
    <w:rsid w:val="00791CAC"/>
    <w:rsid w:val="00792E1F"/>
    <w:rsid w:val="00795C73"/>
    <w:rsid w:val="007A2151"/>
    <w:rsid w:val="007A5B39"/>
    <w:rsid w:val="007B02E4"/>
    <w:rsid w:val="007B44E7"/>
    <w:rsid w:val="007C0818"/>
    <w:rsid w:val="007C31FC"/>
    <w:rsid w:val="007C7518"/>
    <w:rsid w:val="007D0935"/>
    <w:rsid w:val="007D0C35"/>
    <w:rsid w:val="007D4829"/>
    <w:rsid w:val="007E1352"/>
    <w:rsid w:val="007E48B4"/>
    <w:rsid w:val="007E4BEF"/>
    <w:rsid w:val="007E7590"/>
    <w:rsid w:val="007F66FA"/>
    <w:rsid w:val="00801AC7"/>
    <w:rsid w:val="0080312B"/>
    <w:rsid w:val="0080519D"/>
    <w:rsid w:val="0081144D"/>
    <w:rsid w:val="00814A46"/>
    <w:rsid w:val="00816A2E"/>
    <w:rsid w:val="00823CA5"/>
    <w:rsid w:val="00826AC0"/>
    <w:rsid w:val="00833A5B"/>
    <w:rsid w:val="00833F5C"/>
    <w:rsid w:val="00835605"/>
    <w:rsid w:val="008356C9"/>
    <w:rsid w:val="00840FE4"/>
    <w:rsid w:val="008477FE"/>
    <w:rsid w:val="00847C20"/>
    <w:rsid w:val="00855D6F"/>
    <w:rsid w:val="00856A4A"/>
    <w:rsid w:val="0086286C"/>
    <w:rsid w:val="00866D81"/>
    <w:rsid w:val="00870C89"/>
    <w:rsid w:val="00873617"/>
    <w:rsid w:val="00873675"/>
    <w:rsid w:val="00874CBB"/>
    <w:rsid w:val="00884CAB"/>
    <w:rsid w:val="0088597A"/>
    <w:rsid w:val="00887698"/>
    <w:rsid w:val="0089305D"/>
    <w:rsid w:val="00893BB7"/>
    <w:rsid w:val="00894BCE"/>
    <w:rsid w:val="00894FAB"/>
    <w:rsid w:val="00895287"/>
    <w:rsid w:val="00896A1D"/>
    <w:rsid w:val="008B06FF"/>
    <w:rsid w:val="008B1567"/>
    <w:rsid w:val="008B3BF6"/>
    <w:rsid w:val="008B4B21"/>
    <w:rsid w:val="008C1772"/>
    <w:rsid w:val="008C69A7"/>
    <w:rsid w:val="008D53A4"/>
    <w:rsid w:val="008E14E3"/>
    <w:rsid w:val="008E7D74"/>
    <w:rsid w:val="008F243B"/>
    <w:rsid w:val="008F305A"/>
    <w:rsid w:val="008F4A96"/>
    <w:rsid w:val="008F7A3F"/>
    <w:rsid w:val="008F7A93"/>
    <w:rsid w:val="009017AE"/>
    <w:rsid w:val="00901FB2"/>
    <w:rsid w:val="00903686"/>
    <w:rsid w:val="009049B6"/>
    <w:rsid w:val="00906B11"/>
    <w:rsid w:val="00910912"/>
    <w:rsid w:val="00911FC0"/>
    <w:rsid w:val="0091227E"/>
    <w:rsid w:val="00916461"/>
    <w:rsid w:val="00921453"/>
    <w:rsid w:val="009236B7"/>
    <w:rsid w:val="00925587"/>
    <w:rsid w:val="00933E90"/>
    <w:rsid w:val="00934BB0"/>
    <w:rsid w:val="00951AF1"/>
    <w:rsid w:val="00952EC7"/>
    <w:rsid w:val="00954985"/>
    <w:rsid w:val="009563A9"/>
    <w:rsid w:val="0095758A"/>
    <w:rsid w:val="009629F8"/>
    <w:rsid w:val="009639CC"/>
    <w:rsid w:val="00963B6E"/>
    <w:rsid w:val="0096471B"/>
    <w:rsid w:val="00967B41"/>
    <w:rsid w:val="00970FD2"/>
    <w:rsid w:val="0097254B"/>
    <w:rsid w:val="00975C1A"/>
    <w:rsid w:val="00987A13"/>
    <w:rsid w:val="00991395"/>
    <w:rsid w:val="00993BBE"/>
    <w:rsid w:val="00994027"/>
    <w:rsid w:val="00994987"/>
    <w:rsid w:val="00996F0E"/>
    <w:rsid w:val="009977F5"/>
    <w:rsid w:val="009A1E54"/>
    <w:rsid w:val="009B0F75"/>
    <w:rsid w:val="009B3CD7"/>
    <w:rsid w:val="009C2013"/>
    <w:rsid w:val="009C3753"/>
    <w:rsid w:val="009C4A5C"/>
    <w:rsid w:val="009D0B2D"/>
    <w:rsid w:val="009D1A3A"/>
    <w:rsid w:val="009E13C4"/>
    <w:rsid w:val="009E3BAA"/>
    <w:rsid w:val="009E5A65"/>
    <w:rsid w:val="009F0883"/>
    <w:rsid w:val="009F67DD"/>
    <w:rsid w:val="009F68F8"/>
    <w:rsid w:val="009F6C05"/>
    <w:rsid w:val="00A00C37"/>
    <w:rsid w:val="00A00E81"/>
    <w:rsid w:val="00A07CEB"/>
    <w:rsid w:val="00A14003"/>
    <w:rsid w:val="00A16A52"/>
    <w:rsid w:val="00A16C92"/>
    <w:rsid w:val="00A24B74"/>
    <w:rsid w:val="00A26CCE"/>
    <w:rsid w:val="00A27158"/>
    <w:rsid w:val="00A37CA5"/>
    <w:rsid w:val="00A40068"/>
    <w:rsid w:val="00A41E67"/>
    <w:rsid w:val="00A41F91"/>
    <w:rsid w:val="00A47FA7"/>
    <w:rsid w:val="00A500CB"/>
    <w:rsid w:val="00A52917"/>
    <w:rsid w:val="00A54C5B"/>
    <w:rsid w:val="00A57485"/>
    <w:rsid w:val="00A61794"/>
    <w:rsid w:val="00A65B44"/>
    <w:rsid w:val="00A71BD3"/>
    <w:rsid w:val="00A72C14"/>
    <w:rsid w:val="00A745A4"/>
    <w:rsid w:val="00A75912"/>
    <w:rsid w:val="00A81EBA"/>
    <w:rsid w:val="00A849B5"/>
    <w:rsid w:val="00A87BF8"/>
    <w:rsid w:val="00A91488"/>
    <w:rsid w:val="00A92043"/>
    <w:rsid w:val="00A940A7"/>
    <w:rsid w:val="00AA22F3"/>
    <w:rsid w:val="00AA26E0"/>
    <w:rsid w:val="00AA3324"/>
    <w:rsid w:val="00AA4601"/>
    <w:rsid w:val="00AA6D48"/>
    <w:rsid w:val="00AA7FB5"/>
    <w:rsid w:val="00AB597B"/>
    <w:rsid w:val="00AB7F07"/>
    <w:rsid w:val="00AC0E0F"/>
    <w:rsid w:val="00AC1462"/>
    <w:rsid w:val="00AC2A39"/>
    <w:rsid w:val="00AD197A"/>
    <w:rsid w:val="00AD5301"/>
    <w:rsid w:val="00AD5494"/>
    <w:rsid w:val="00AF4A82"/>
    <w:rsid w:val="00AF6081"/>
    <w:rsid w:val="00AF60DF"/>
    <w:rsid w:val="00B00D7E"/>
    <w:rsid w:val="00B05F01"/>
    <w:rsid w:val="00B06C8F"/>
    <w:rsid w:val="00B071FE"/>
    <w:rsid w:val="00B101E6"/>
    <w:rsid w:val="00B10E85"/>
    <w:rsid w:val="00B170B8"/>
    <w:rsid w:val="00B311B6"/>
    <w:rsid w:val="00B344F6"/>
    <w:rsid w:val="00B4021E"/>
    <w:rsid w:val="00B42B11"/>
    <w:rsid w:val="00B44A6E"/>
    <w:rsid w:val="00B45A00"/>
    <w:rsid w:val="00B45F80"/>
    <w:rsid w:val="00B46A5D"/>
    <w:rsid w:val="00B51D54"/>
    <w:rsid w:val="00B527D2"/>
    <w:rsid w:val="00B609DC"/>
    <w:rsid w:val="00B633F6"/>
    <w:rsid w:val="00B6397C"/>
    <w:rsid w:val="00B64631"/>
    <w:rsid w:val="00B65768"/>
    <w:rsid w:val="00B702CB"/>
    <w:rsid w:val="00B7199B"/>
    <w:rsid w:val="00B72506"/>
    <w:rsid w:val="00B76301"/>
    <w:rsid w:val="00B803D8"/>
    <w:rsid w:val="00B820EC"/>
    <w:rsid w:val="00B849C8"/>
    <w:rsid w:val="00B86154"/>
    <w:rsid w:val="00B92D6F"/>
    <w:rsid w:val="00B94BAD"/>
    <w:rsid w:val="00BA36C5"/>
    <w:rsid w:val="00BA7A35"/>
    <w:rsid w:val="00BB16E1"/>
    <w:rsid w:val="00BB381B"/>
    <w:rsid w:val="00BB5160"/>
    <w:rsid w:val="00BB5865"/>
    <w:rsid w:val="00BB61D9"/>
    <w:rsid w:val="00BC1EAB"/>
    <w:rsid w:val="00BC26BF"/>
    <w:rsid w:val="00BC47C4"/>
    <w:rsid w:val="00BC5B42"/>
    <w:rsid w:val="00BC7A9F"/>
    <w:rsid w:val="00BD068B"/>
    <w:rsid w:val="00BE1A06"/>
    <w:rsid w:val="00BE36F0"/>
    <w:rsid w:val="00BE5432"/>
    <w:rsid w:val="00BE7BB1"/>
    <w:rsid w:val="00BF2649"/>
    <w:rsid w:val="00BF47EC"/>
    <w:rsid w:val="00BF61CE"/>
    <w:rsid w:val="00C041B9"/>
    <w:rsid w:val="00C05F93"/>
    <w:rsid w:val="00C07C9D"/>
    <w:rsid w:val="00C11830"/>
    <w:rsid w:val="00C1194D"/>
    <w:rsid w:val="00C12436"/>
    <w:rsid w:val="00C13307"/>
    <w:rsid w:val="00C137B5"/>
    <w:rsid w:val="00C13BCE"/>
    <w:rsid w:val="00C155EA"/>
    <w:rsid w:val="00C30F90"/>
    <w:rsid w:val="00C353C6"/>
    <w:rsid w:val="00C3757B"/>
    <w:rsid w:val="00C417A2"/>
    <w:rsid w:val="00C4393C"/>
    <w:rsid w:val="00C45DCA"/>
    <w:rsid w:val="00C50179"/>
    <w:rsid w:val="00C51762"/>
    <w:rsid w:val="00C51E10"/>
    <w:rsid w:val="00C527BB"/>
    <w:rsid w:val="00C55D6A"/>
    <w:rsid w:val="00C6750D"/>
    <w:rsid w:val="00C721F2"/>
    <w:rsid w:val="00C735C0"/>
    <w:rsid w:val="00C85BDD"/>
    <w:rsid w:val="00C86FB7"/>
    <w:rsid w:val="00C8786D"/>
    <w:rsid w:val="00C90FCC"/>
    <w:rsid w:val="00C95D0B"/>
    <w:rsid w:val="00CA14A8"/>
    <w:rsid w:val="00CA182E"/>
    <w:rsid w:val="00CA3A87"/>
    <w:rsid w:val="00CA5AE5"/>
    <w:rsid w:val="00CA6073"/>
    <w:rsid w:val="00CA6E67"/>
    <w:rsid w:val="00CA757C"/>
    <w:rsid w:val="00CB00B1"/>
    <w:rsid w:val="00CB07D4"/>
    <w:rsid w:val="00CB416E"/>
    <w:rsid w:val="00CB660C"/>
    <w:rsid w:val="00CC533E"/>
    <w:rsid w:val="00CC644A"/>
    <w:rsid w:val="00CD172B"/>
    <w:rsid w:val="00CE1556"/>
    <w:rsid w:val="00CE37E7"/>
    <w:rsid w:val="00CF0BBF"/>
    <w:rsid w:val="00CF499E"/>
    <w:rsid w:val="00CF55D2"/>
    <w:rsid w:val="00CF7C01"/>
    <w:rsid w:val="00D04DBD"/>
    <w:rsid w:val="00D12F76"/>
    <w:rsid w:val="00D168AB"/>
    <w:rsid w:val="00D16C5F"/>
    <w:rsid w:val="00D2430D"/>
    <w:rsid w:val="00D26458"/>
    <w:rsid w:val="00D267DD"/>
    <w:rsid w:val="00D26C5A"/>
    <w:rsid w:val="00D33428"/>
    <w:rsid w:val="00D40250"/>
    <w:rsid w:val="00D44A42"/>
    <w:rsid w:val="00D45E00"/>
    <w:rsid w:val="00D46A6D"/>
    <w:rsid w:val="00D514DE"/>
    <w:rsid w:val="00D52A51"/>
    <w:rsid w:val="00D56404"/>
    <w:rsid w:val="00D5719E"/>
    <w:rsid w:val="00D611EA"/>
    <w:rsid w:val="00D616EF"/>
    <w:rsid w:val="00D65B0C"/>
    <w:rsid w:val="00D72A70"/>
    <w:rsid w:val="00D80CE7"/>
    <w:rsid w:val="00D82A2A"/>
    <w:rsid w:val="00D90C30"/>
    <w:rsid w:val="00D92603"/>
    <w:rsid w:val="00D94CC6"/>
    <w:rsid w:val="00D96A07"/>
    <w:rsid w:val="00DA1514"/>
    <w:rsid w:val="00DA468B"/>
    <w:rsid w:val="00DB0C24"/>
    <w:rsid w:val="00DB26DB"/>
    <w:rsid w:val="00DB58F6"/>
    <w:rsid w:val="00DC0999"/>
    <w:rsid w:val="00DC40BC"/>
    <w:rsid w:val="00DC4D13"/>
    <w:rsid w:val="00DD1337"/>
    <w:rsid w:val="00DD2114"/>
    <w:rsid w:val="00DD3A50"/>
    <w:rsid w:val="00DD592F"/>
    <w:rsid w:val="00DD67DB"/>
    <w:rsid w:val="00DD7303"/>
    <w:rsid w:val="00DE231A"/>
    <w:rsid w:val="00DE3CB7"/>
    <w:rsid w:val="00DE3F8A"/>
    <w:rsid w:val="00DE4347"/>
    <w:rsid w:val="00DF2971"/>
    <w:rsid w:val="00DF71F3"/>
    <w:rsid w:val="00DF7332"/>
    <w:rsid w:val="00E03A28"/>
    <w:rsid w:val="00E041E2"/>
    <w:rsid w:val="00E12178"/>
    <w:rsid w:val="00E14198"/>
    <w:rsid w:val="00E205EB"/>
    <w:rsid w:val="00E23BEE"/>
    <w:rsid w:val="00E3468B"/>
    <w:rsid w:val="00E36E50"/>
    <w:rsid w:val="00E4058E"/>
    <w:rsid w:val="00E4241F"/>
    <w:rsid w:val="00E47A10"/>
    <w:rsid w:val="00E50FCA"/>
    <w:rsid w:val="00E519E6"/>
    <w:rsid w:val="00E533AF"/>
    <w:rsid w:val="00E55D11"/>
    <w:rsid w:val="00E6018A"/>
    <w:rsid w:val="00E67C71"/>
    <w:rsid w:val="00E70608"/>
    <w:rsid w:val="00E717C5"/>
    <w:rsid w:val="00E73999"/>
    <w:rsid w:val="00E74D00"/>
    <w:rsid w:val="00E773F4"/>
    <w:rsid w:val="00E819F6"/>
    <w:rsid w:val="00E873DB"/>
    <w:rsid w:val="00E878AB"/>
    <w:rsid w:val="00E94455"/>
    <w:rsid w:val="00E974E3"/>
    <w:rsid w:val="00EA4C63"/>
    <w:rsid w:val="00EA5024"/>
    <w:rsid w:val="00EC7C91"/>
    <w:rsid w:val="00ED2331"/>
    <w:rsid w:val="00ED3088"/>
    <w:rsid w:val="00ED3943"/>
    <w:rsid w:val="00ED6235"/>
    <w:rsid w:val="00EE3287"/>
    <w:rsid w:val="00EE35B0"/>
    <w:rsid w:val="00EF50A3"/>
    <w:rsid w:val="00EF61A7"/>
    <w:rsid w:val="00F06231"/>
    <w:rsid w:val="00F076F2"/>
    <w:rsid w:val="00F108B6"/>
    <w:rsid w:val="00F10C00"/>
    <w:rsid w:val="00F12867"/>
    <w:rsid w:val="00F163C7"/>
    <w:rsid w:val="00F16DE6"/>
    <w:rsid w:val="00F17E64"/>
    <w:rsid w:val="00F27257"/>
    <w:rsid w:val="00F3125A"/>
    <w:rsid w:val="00F34E95"/>
    <w:rsid w:val="00F355A3"/>
    <w:rsid w:val="00F36B06"/>
    <w:rsid w:val="00F37988"/>
    <w:rsid w:val="00F41D3C"/>
    <w:rsid w:val="00F514D8"/>
    <w:rsid w:val="00F51685"/>
    <w:rsid w:val="00F5300F"/>
    <w:rsid w:val="00F55802"/>
    <w:rsid w:val="00F56B65"/>
    <w:rsid w:val="00F60BDD"/>
    <w:rsid w:val="00F61A2A"/>
    <w:rsid w:val="00F632E1"/>
    <w:rsid w:val="00F64FC7"/>
    <w:rsid w:val="00F65373"/>
    <w:rsid w:val="00F67602"/>
    <w:rsid w:val="00F74601"/>
    <w:rsid w:val="00F8022A"/>
    <w:rsid w:val="00F8064C"/>
    <w:rsid w:val="00F84109"/>
    <w:rsid w:val="00F90596"/>
    <w:rsid w:val="00F9379F"/>
    <w:rsid w:val="00F94208"/>
    <w:rsid w:val="00FA2B3D"/>
    <w:rsid w:val="00FA2FB6"/>
    <w:rsid w:val="00FA60DB"/>
    <w:rsid w:val="00FA650E"/>
    <w:rsid w:val="00FA6FE6"/>
    <w:rsid w:val="00FC4C5C"/>
    <w:rsid w:val="00FC6E55"/>
    <w:rsid w:val="00FD2A5B"/>
    <w:rsid w:val="00FD5BB1"/>
    <w:rsid w:val="00FE283F"/>
    <w:rsid w:val="00FE4D34"/>
    <w:rsid w:val="00FF48C9"/>
    <w:rsid w:val="0151161C"/>
    <w:rsid w:val="0310406D"/>
    <w:rsid w:val="05570795"/>
    <w:rsid w:val="06B73B35"/>
    <w:rsid w:val="06EA025C"/>
    <w:rsid w:val="079528D4"/>
    <w:rsid w:val="08DA7138"/>
    <w:rsid w:val="09DA574F"/>
    <w:rsid w:val="0A014251"/>
    <w:rsid w:val="0B621946"/>
    <w:rsid w:val="0BAE67A3"/>
    <w:rsid w:val="0CE3143B"/>
    <w:rsid w:val="0F39751C"/>
    <w:rsid w:val="10606175"/>
    <w:rsid w:val="114801D2"/>
    <w:rsid w:val="14767376"/>
    <w:rsid w:val="149D101A"/>
    <w:rsid w:val="14A32AD4"/>
    <w:rsid w:val="16810BF3"/>
    <w:rsid w:val="177B5642"/>
    <w:rsid w:val="17D2722C"/>
    <w:rsid w:val="1D8B47B0"/>
    <w:rsid w:val="1EB8635C"/>
    <w:rsid w:val="20505621"/>
    <w:rsid w:val="214747E7"/>
    <w:rsid w:val="220D5A31"/>
    <w:rsid w:val="22332BD6"/>
    <w:rsid w:val="230E380E"/>
    <w:rsid w:val="23826731"/>
    <w:rsid w:val="26A1499A"/>
    <w:rsid w:val="272F01F7"/>
    <w:rsid w:val="2751016E"/>
    <w:rsid w:val="2F5168A5"/>
    <w:rsid w:val="2F7739FD"/>
    <w:rsid w:val="31606835"/>
    <w:rsid w:val="321F79E2"/>
    <w:rsid w:val="35B97431"/>
    <w:rsid w:val="35E41B3B"/>
    <w:rsid w:val="36DA1F2E"/>
    <w:rsid w:val="37243BD7"/>
    <w:rsid w:val="39627FB8"/>
    <w:rsid w:val="3E0D0A3C"/>
    <w:rsid w:val="41126927"/>
    <w:rsid w:val="413D1A37"/>
    <w:rsid w:val="418F644C"/>
    <w:rsid w:val="421F738E"/>
    <w:rsid w:val="44ED72D0"/>
    <w:rsid w:val="46A954FF"/>
    <w:rsid w:val="49B06484"/>
    <w:rsid w:val="49EC1D54"/>
    <w:rsid w:val="4A0B1FA6"/>
    <w:rsid w:val="4A520E1F"/>
    <w:rsid w:val="4B3F0159"/>
    <w:rsid w:val="4C940529"/>
    <w:rsid w:val="506944D8"/>
    <w:rsid w:val="52971438"/>
    <w:rsid w:val="52B43CE2"/>
    <w:rsid w:val="52C443BD"/>
    <w:rsid w:val="55B5279C"/>
    <w:rsid w:val="55F6133B"/>
    <w:rsid w:val="562D7E5B"/>
    <w:rsid w:val="5792501F"/>
    <w:rsid w:val="58030FE6"/>
    <w:rsid w:val="5A2E7D17"/>
    <w:rsid w:val="5B70435F"/>
    <w:rsid w:val="5B7C4AB2"/>
    <w:rsid w:val="5BF3746A"/>
    <w:rsid w:val="5C657C3C"/>
    <w:rsid w:val="5CD54457"/>
    <w:rsid w:val="5CDE521C"/>
    <w:rsid w:val="5D5217C8"/>
    <w:rsid w:val="5F0B0627"/>
    <w:rsid w:val="5F427CC7"/>
    <w:rsid w:val="624606A8"/>
    <w:rsid w:val="64607667"/>
    <w:rsid w:val="6CAD0F6F"/>
    <w:rsid w:val="6FCC795E"/>
    <w:rsid w:val="71B05903"/>
    <w:rsid w:val="731F693F"/>
    <w:rsid w:val="74A130E4"/>
    <w:rsid w:val="75D4756D"/>
    <w:rsid w:val="79B128DE"/>
    <w:rsid w:val="7ADB314B"/>
    <w:rsid w:val="7B39662D"/>
    <w:rsid w:val="7C1566B4"/>
    <w:rsid w:val="7CCF6CE0"/>
    <w:rsid w:val="7CF7202A"/>
    <w:rsid w:val="7E364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autoRedefine/>
    <w:unhideWhenUsed/>
    <w:qFormat/>
    <w:uiPriority w:val="9"/>
    <w:pPr>
      <w:keepNext/>
      <w:keepLines/>
      <w:spacing w:line="360" w:lineRule="auto"/>
      <w:ind w:left="200" w:leftChars="200"/>
      <w:outlineLvl w:val="1"/>
    </w:pPr>
    <w:rPr>
      <w:rFonts w:asciiTheme="majorHAnsi" w:hAnsiTheme="majorHAnsi" w:cstheme="majorBidi"/>
      <w:bCs/>
      <w:sz w:val="24"/>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200" w:firstLineChars="200"/>
    </w:pPr>
  </w:style>
  <w:style w:type="paragraph" w:styleId="5">
    <w:name w:val="annotation text"/>
    <w:basedOn w:val="1"/>
    <w:link w:val="26"/>
    <w:autoRedefine/>
    <w:unhideWhenUsed/>
    <w:qFormat/>
    <w:uiPriority w:val="99"/>
    <w:pPr>
      <w:jc w:val="left"/>
    </w:pPr>
  </w:style>
  <w:style w:type="paragraph" w:styleId="6">
    <w:name w:val="Balloon Text"/>
    <w:basedOn w:val="1"/>
    <w:link w:val="24"/>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toc 1"/>
    <w:basedOn w:val="1"/>
    <w:next w:val="1"/>
    <w:autoRedefine/>
    <w:unhideWhenUsed/>
    <w:qFormat/>
    <w:uiPriority w:val="39"/>
    <w:pPr>
      <w:tabs>
        <w:tab w:val="right" w:leader="dot" w:pos="8834"/>
      </w:tabs>
      <w:spacing w:line="360" w:lineRule="auto"/>
    </w:pPr>
    <w:rPr>
      <w:rFonts w:ascii="宋体" w:hAnsi="宋体" w:cs="宋体"/>
      <w:b/>
      <w:bCs/>
      <w:kern w:val="0"/>
      <w:sz w:val="28"/>
      <w:szCs w:val="36"/>
    </w:rPr>
  </w:style>
  <w:style w:type="paragraph" w:styleId="10">
    <w:name w:val="toc 2"/>
    <w:basedOn w:val="1"/>
    <w:next w:val="1"/>
    <w:autoRedefine/>
    <w:unhideWhenUsed/>
    <w:qFormat/>
    <w:uiPriority w:val="39"/>
    <w:pPr>
      <w:ind w:left="420" w:leftChars="200"/>
    </w:p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5"/>
    <w:next w:val="5"/>
    <w:link w:val="27"/>
    <w:autoRedefine/>
    <w:semiHidden/>
    <w:unhideWhenUsed/>
    <w:qFormat/>
    <w:uiPriority w:val="99"/>
    <w:rPr>
      <w:b/>
      <w:bCs/>
    </w:rPr>
  </w:style>
  <w:style w:type="table" w:styleId="14">
    <w:name w:val="Table Grid"/>
    <w:basedOn w:val="13"/>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autoRedefine/>
    <w:unhideWhenUsed/>
    <w:qFormat/>
    <w:uiPriority w:val="99"/>
    <w:rPr>
      <w:color w:val="0000FF" w:themeColor="hyperlink"/>
      <w:u w:val="single"/>
      <w14:textFill>
        <w14:solidFill>
          <w14:schemeClr w14:val="hlink"/>
        </w14:solidFill>
      </w14:textFill>
    </w:rPr>
  </w:style>
  <w:style w:type="character" w:styleId="17">
    <w:name w:val="annotation reference"/>
    <w:basedOn w:val="15"/>
    <w:autoRedefine/>
    <w:semiHidden/>
    <w:unhideWhenUsed/>
    <w:qFormat/>
    <w:uiPriority w:val="99"/>
    <w:rPr>
      <w:sz w:val="21"/>
      <w:szCs w:val="21"/>
    </w:rPr>
  </w:style>
  <w:style w:type="character" w:customStyle="1" w:styleId="18">
    <w:name w:val="页眉 Char"/>
    <w:basedOn w:val="15"/>
    <w:link w:val="8"/>
    <w:autoRedefine/>
    <w:qFormat/>
    <w:uiPriority w:val="99"/>
    <w:rPr>
      <w:sz w:val="18"/>
      <w:szCs w:val="18"/>
    </w:rPr>
  </w:style>
  <w:style w:type="character" w:customStyle="1" w:styleId="19">
    <w:name w:val="页脚 Char"/>
    <w:basedOn w:val="15"/>
    <w:link w:val="7"/>
    <w:autoRedefine/>
    <w:qFormat/>
    <w:uiPriority w:val="99"/>
    <w:rPr>
      <w:sz w:val="18"/>
      <w:szCs w:val="18"/>
    </w:rPr>
  </w:style>
  <w:style w:type="paragraph" w:styleId="20">
    <w:name w:val="List Paragraph"/>
    <w:basedOn w:val="1"/>
    <w:autoRedefine/>
    <w:qFormat/>
    <w:uiPriority w:val="34"/>
    <w:pPr>
      <w:ind w:firstLine="420" w:firstLineChars="200"/>
    </w:pPr>
  </w:style>
  <w:style w:type="character" w:customStyle="1" w:styleId="21">
    <w:name w:val="NormalCharacter"/>
    <w:autoRedefine/>
    <w:semiHidden/>
    <w:qFormat/>
    <w:uiPriority w:val="0"/>
  </w:style>
  <w:style w:type="character" w:customStyle="1" w:styleId="22">
    <w:name w:val="标题 1 Char"/>
    <w:basedOn w:val="15"/>
    <w:link w:val="2"/>
    <w:autoRedefine/>
    <w:qFormat/>
    <w:uiPriority w:val="9"/>
    <w:rPr>
      <w:rFonts w:ascii="Times New Roman" w:hAnsi="Times New Roman" w:eastAsia="宋体" w:cs="Times New Roman"/>
      <w:b/>
      <w:bCs/>
      <w:kern w:val="44"/>
      <w:sz w:val="44"/>
      <w:szCs w:val="44"/>
    </w:rPr>
  </w:style>
  <w:style w:type="paragraph" w:customStyle="1" w:styleId="23">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4">
    <w:name w:val="批注框文本 Char"/>
    <w:basedOn w:val="15"/>
    <w:link w:val="6"/>
    <w:autoRedefine/>
    <w:semiHidden/>
    <w:qFormat/>
    <w:uiPriority w:val="99"/>
    <w:rPr>
      <w:rFonts w:ascii="Times New Roman" w:hAnsi="Times New Roman" w:eastAsia="宋体" w:cs="Times New Roman"/>
      <w:sz w:val="18"/>
      <w:szCs w:val="18"/>
    </w:rPr>
  </w:style>
  <w:style w:type="paragraph" w:customStyle="1" w:styleId="25">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6">
    <w:name w:val="批注文字 Char"/>
    <w:basedOn w:val="15"/>
    <w:link w:val="5"/>
    <w:autoRedefine/>
    <w:qFormat/>
    <w:uiPriority w:val="99"/>
    <w:rPr>
      <w:rFonts w:ascii="Times New Roman" w:hAnsi="Times New Roman" w:eastAsia="宋体" w:cs="Times New Roman"/>
      <w:kern w:val="2"/>
      <w:sz w:val="21"/>
      <w:szCs w:val="24"/>
    </w:rPr>
  </w:style>
  <w:style w:type="character" w:customStyle="1" w:styleId="27">
    <w:name w:val="批注主题 Char"/>
    <w:basedOn w:val="26"/>
    <w:link w:val="12"/>
    <w:autoRedefine/>
    <w:semiHidden/>
    <w:qFormat/>
    <w:uiPriority w:val="99"/>
    <w:rPr>
      <w:rFonts w:ascii="Times New Roman" w:hAnsi="Times New Roman" w:eastAsia="宋体" w:cs="Times New Roman"/>
      <w:b/>
      <w:bCs/>
      <w:kern w:val="2"/>
      <w:sz w:val="21"/>
      <w:szCs w:val="24"/>
    </w:rPr>
  </w:style>
  <w:style w:type="paragraph" w:customStyle="1" w:styleId="28">
    <w:name w:val="修订2"/>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标题 2 Char"/>
    <w:basedOn w:val="15"/>
    <w:link w:val="3"/>
    <w:autoRedefine/>
    <w:qFormat/>
    <w:uiPriority w:val="9"/>
    <w:rPr>
      <w:rFonts w:eastAsia="宋体" w:asciiTheme="majorHAnsi" w:hAnsiTheme="majorHAnsi" w:cstheme="majorBidi"/>
      <w:bCs/>
      <w:kern w:val="2"/>
      <w:sz w:val="24"/>
      <w:szCs w:val="32"/>
    </w:rPr>
  </w:style>
  <w:style w:type="character" w:customStyle="1" w:styleId="30">
    <w:name w:val="font41"/>
    <w:basedOn w:val="15"/>
    <w:autoRedefine/>
    <w:qFormat/>
    <w:uiPriority w:val="0"/>
    <w:rPr>
      <w:rFonts w:hint="eastAsia" w:ascii="宋体" w:hAnsi="宋体" w:eastAsia="宋体" w:cs="宋体"/>
      <w:b/>
      <w:bCs/>
      <w:color w:val="000000"/>
      <w:sz w:val="18"/>
      <w:szCs w:val="18"/>
      <w:u w:val="none"/>
    </w:rPr>
  </w:style>
  <w:style w:type="character" w:customStyle="1" w:styleId="31">
    <w:name w:val="font51"/>
    <w:basedOn w:val="15"/>
    <w:autoRedefine/>
    <w:qFormat/>
    <w:uiPriority w:val="0"/>
    <w:rPr>
      <w:rFonts w:hint="eastAsia" w:ascii="宋体" w:hAnsi="宋体" w:eastAsia="宋体" w:cs="宋体"/>
      <w:b/>
      <w:bCs/>
      <w:color w:val="000000"/>
      <w:sz w:val="20"/>
      <w:szCs w:val="20"/>
      <w:u w:val="none"/>
    </w:rPr>
  </w:style>
  <w:style w:type="character" w:customStyle="1" w:styleId="32">
    <w:name w:val="font61"/>
    <w:basedOn w:val="15"/>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7B286-43CC-48E3-9687-AAE15F73A88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6479</Words>
  <Characters>6945</Characters>
  <Lines>32</Lines>
  <Paragraphs>9</Paragraphs>
  <TotalTime>3</TotalTime>
  <ScaleCrop>false</ScaleCrop>
  <LinksUpToDate>false</LinksUpToDate>
  <CharactersWithSpaces>6958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2024-05-09T01:27:00Z</dcterms:created>
  <dc:creator>WHL</dc:creator>
  <cp:lastModifiedBy>admin</cp:lastModifiedBy>
  <cp:lastPrinted>2024-08-15T08:11:00Z</cp:lastPrinted>
  <dcterms:modified xsi:type="dcterms:W3CDTF">2024-08-16T06:19:08Z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0F11502B0DCD4F569CE5E621AF796E70_13</vt:lpwstr>
  </property>
</Properties>
</file>